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A8" w:rsidRDefault="00D40EA8" w:rsidP="00D40EA8">
      <w:pPr>
        <w:pStyle w:val="2"/>
        <w:tabs>
          <w:tab w:val="clear" w:pos="567"/>
          <w:tab w:val="left" w:pos="0"/>
        </w:tabs>
        <w:ind w:left="0" w:firstLine="0"/>
        <w:rPr>
          <w:rFonts w:eastAsia="SimSun"/>
          <w:i/>
          <w:iCs/>
          <w:color w:val="5B9BD5"/>
          <w:lang w:val="el-GR"/>
        </w:rPr>
      </w:pPr>
      <w:bookmarkStart w:id="0" w:name="_Toc525656301"/>
      <w:bookmarkStart w:id="1" w:name="_Toc525913890"/>
      <w:r>
        <w:rPr>
          <w:lang w:val="el-GR"/>
        </w:rPr>
        <w:t>ΠΑΡΑΡΤΗΜΑ Β΄ – Υπόδειγμα Οικονομικής Προσφοράς</w:t>
      </w:r>
      <w:bookmarkEnd w:id="0"/>
      <w:bookmarkEnd w:id="1"/>
    </w:p>
    <w:p w:rsidR="00D40EA8" w:rsidRDefault="00D40EA8" w:rsidP="00D40EA8">
      <w:pPr>
        <w:pStyle w:val="normalwithoutspacing"/>
      </w:pPr>
      <w:r w:rsidRPr="005D600B">
        <w:t>Οι συμμετέχοντες στο διαγ</w:t>
      </w:r>
      <w:r>
        <w:t>ωνισμό πρέπει να συμπληρώσουν το κάτωθι υπόδειγμα</w:t>
      </w:r>
      <w:r w:rsidRPr="005D600B">
        <w:t xml:space="preserve"> </w:t>
      </w:r>
      <w:r w:rsidRPr="005D600B">
        <w:rPr>
          <w:b/>
        </w:rPr>
        <w:t>«ΠΙΝΑΚΑΣ ΟΙΚΟΝΟΜΙΚΗΣ ΠΡΟΣΦΟΡΑΣ»</w:t>
      </w:r>
      <w:r w:rsidRPr="005D600B">
        <w:t xml:space="preserve"> και να τον</w:t>
      </w:r>
      <w:r>
        <w:t xml:space="preserve"> </w:t>
      </w:r>
      <w:r w:rsidRPr="005D600B">
        <w:t xml:space="preserve">συμπεριλάβουν στον φάκελο της οικονομικής προσφοράς τους.    Επίσης, στον φάκελο της οικονομικής προσφοράς </w:t>
      </w:r>
      <w:r>
        <w:t>υποχρεούται να αναφέρουν τυχόν επιπλέον χρεώσεις, έτσι ώστε η Αναθέτουσα Αρχή να αξιολογήσει τις προσφορές ως προς το σύνολο της δαπάνης που προκύπτει ανά Τμήμα.</w:t>
      </w:r>
    </w:p>
    <w:p w:rsidR="00D40EA8" w:rsidRDefault="00D40EA8" w:rsidP="00D40EA8">
      <w:pPr>
        <w:pStyle w:val="normalwithoutspacing"/>
        <w:rPr>
          <w:rFonts w:eastAsia="SimSun"/>
          <w:kern w:val="1"/>
          <w:lang w:eastAsia="el-GR"/>
        </w:rPr>
      </w:pPr>
    </w:p>
    <w:p w:rsidR="00D40EA8" w:rsidRPr="00483BA4" w:rsidRDefault="00D40EA8" w:rsidP="00D40EA8">
      <w:pPr>
        <w:pStyle w:val="normalwithoutspacing"/>
        <w:rPr>
          <w:rFonts w:eastAsia="SimSun"/>
          <w:b/>
          <w:kern w:val="1"/>
          <w:lang w:eastAsia="el-GR"/>
        </w:rPr>
      </w:pPr>
      <w:r w:rsidRPr="00483BA4">
        <w:rPr>
          <w:rFonts w:eastAsia="SimSun"/>
          <w:b/>
          <w:kern w:val="1"/>
          <w:lang w:eastAsia="el-GR"/>
        </w:rPr>
        <w:t>ΠΙΝΑΚΑΣ ΟΙΚΟΝΟΜΙΚΗΣ ΠΡΟΣΦΟΡΑΣ</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418"/>
        <w:gridCol w:w="1134"/>
        <w:gridCol w:w="1134"/>
        <w:gridCol w:w="1275"/>
      </w:tblGrid>
      <w:tr w:rsidR="00D40EA8" w:rsidRPr="00251E46" w:rsidTr="00FC0CD5">
        <w:tc>
          <w:tcPr>
            <w:tcW w:w="1668" w:type="dxa"/>
          </w:tcPr>
          <w:p w:rsidR="00D40EA8" w:rsidRPr="00251E46" w:rsidRDefault="00D40EA8" w:rsidP="00FC0CD5">
            <w:pPr>
              <w:pStyle w:val="normalwithoutspacing"/>
              <w:jc w:val="left"/>
              <w:rPr>
                <w:rFonts w:eastAsia="SimSun"/>
                <w:kern w:val="1"/>
                <w:lang w:eastAsia="el-GR"/>
              </w:rPr>
            </w:pPr>
            <w:r w:rsidRPr="00251E46">
              <w:rPr>
                <w:rFonts w:eastAsia="SimSun"/>
                <w:kern w:val="1"/>
                <w:lang w:eastAsia="el-GR"/>
              </w:rPr>
              <w:t>Τμήμα :</w:t>
            </w:r>
          </w:p>
        </w:tc>
        <w:tc>
          <w:tcPr>
            <w:tcW w:w="1417" w:type="dxa"/>
          </w:tcPr>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Ποσότητα</w:t>
            </w:r>
          </w:p>
        </w:tc>
        <w:tc>
          <w:tcPr>
            <w:tcW w:w="1418" w:type="dxa"/>
          </w:tcPr>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Τιμή μονάδας χωρίς ΦΠΑ</w:t>
            </w:r>
          </w:p>
        </w:tc>
        <w:tc>
          <w:tcPr>
            <w:tcW w:w="1134" w:type="dxa"/>
          </w:tcPr>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 xml:space="preserve">Δαπάνη </w:t>
            </w:r>
          </w:p>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χωρίς ΦΠΑ</w:t>
            </w:r>
          </w:p>
        </w:tc>
        <w:tc>
          <w:tcPr>
            <w:tcW w:w="1134" w:type="dxa"/>
          </w:tcPr>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Φ.Π.Α.</w:t>
            </w:r>
          </w:p>
        </w:tc>
        <w:tc>
          <w:tcPr>
            <w:tcW w:w="1275" w:type="dxa"/>
          </w:tcPr>
          <w:p w:rsidR="00D40EA8" w:rsidRPr="00251E46" w:rsidRDefault="00D40EA8" w:rsidP="00FC0CD5">
            <w:pPr>
              <w:pStyle w:val="normalwithoutspacing"/>
              <w:jc w:val="center"/>
              <w:rPr>
                <w:rFonts w:eastAsia="SimSun"/>
                <w:kern w:val="1"/>
                <w:lang w:eastAsia="el-GR"/>
              </w:rPr>
            </w:pPr>
            <w:r w:rsidRPr="00251E46">
              <w:rPr>
                <w:rFonts w:eastAsia="SimSun"/>
                <w:kern w:val="1"/>
                <w:lang w:eastAsia="el-GR"/>
              </w:rPr>
              <w:t>Συνολική Δαπάνη</w:t>
            </w:r>
          </w:p>
        </w:tc>
      </w:tr>
      <w:tr w:rsidR="00D40EA8" w:rsidRPr="00251E46" w:rsidTr="00FC0CD5">
        <w:tc>
          <w:tcPr>
            <w:tcW w:w="1668" w:type="dxa"/>
          </w:tcPr>
          <w:p w:rsidR="00D40EA8" w:rsidRPr="00251E46" w:rsidRDefault="00D40EA8" w:rsidP="00FC0CD5">
            <w:pPr>
              <w:pStyle w:val="normalwithoutspacing"/>
              <w:rPr>
                <w:rFonts w:eastAsia="SimSun"/>
                <w:kern w:val="1"/>
                <w:lang w:eastAsia="el-GR"/>
              </w:rPr>
            </w:pPr>
            <w:r w:rsidRPr="00251E46">
              <w:rPr>
                <w:rFonts w:eastAsia="SimSun"/>
                <w:kern w:val="1"/>
                <w:lang w:eastAsia="el-GR"/>
              </w:rPr>
              <w:t>Περιγραφή:</w:t>
            </w:r>
          </w:p>
          <w:p w:rsidR="00D40EA8" w:rsidRPr="00251E46" w:rsidRDefault="00D40EA8" w:rsidP="00FC0CD5">
            <w:pPr>
              <w:pStyle w:val="normalwithoutspacing"/>
              <w:rPr>
                <w:rFonts w:eastAsia="SimSun"/>
                <w:kern w:val="1"/>
                <w:lang w:eastAsia="el-GR"/>
              </w:rPr>
            </w:pPr>
          </w:p>
          <w:p w:rsidR="00D40EA8" w:rsidRPr="00251E46" w:rsidRDefault="00D40EA8" w:rsidP="00FC0CD5">
            <w:pPr>
              <w:pStyle w:val="normalwithoutspacing"/>
              <w:rPr>
                <w:rFonts w:eastAsia="SimSun"/>
                <w:kern w:val="1"/>
                <w:lang w:eastAsia="el-GR"/>
              </w:rPr>
            </w:pPr>
          </w:p>
        </w:tc>
        <w:tc>
          <w:tcPr>
            <w:tcW w:w="1417" w:type="dxa"/>
          </w:tcPr>
          <w:p w:rsidR="00D40EA8" w:rsidRPr="00251E46" w:rsidRDefault="00D40EA8" w:rsidP="00FC0CD5">
            <w:pPr>
              <w:pStyle w:val="normalwithoutspacing"/>
              <w:rPr>
                <w:rFonts w:eastAsia="SimSun"/>
                <w:kern w:val="1"/>
                <w:lang w:eastAsia="el-GR"/>
              </w:rPr>
            </w:pPr>
          </w:p>
        </w:tc>
        <w:tc>
          <w:tcPr>
            <w:tcW w:w="1418" w:type="dxa"/>
          </w:tcPr>
          <w:p w:rsidR="00D40EA8" w:rsidRPr="00251E46" w:rsidRDefault="00D40EA8" w:rsidP="00FC0CD5">
            <w:pPr>
              <w:pStyle w:val="normalwithoutspacing"/>
              <w:rPr>
                <w:rFonts w:eastAsia="SimSun"/>
                <w:kern w:val="1"/>
                <w:lang w:eastAsia="el-GR"/>
              </w:rPr>
            </w:pPr>
          </w:p>
        </w:tc>
        <w:tc>
          <w:tcPr>
            <w:tcW w:w="1134" w:type="dxa"/>
          </w:tcPr>
          <w:p w:rsidR="00D40EA8" w:rsidRPr="00251E46" w:rsidRDefault="00D40EA8" w:rsidP="00FC0CD5">
            <w:pPr>
              <w:pStyle w:val="normalwithoutspacing"/>
              <w:rPr>
                <w:rFonts w:eastAsia="SimSun"/>
                <w:kern w:val="1"/>
                <w:lang w:eastAsia="el-GR"/>
              </w:rPr>
            </w:pPr>
          </w:p>
        </w:tc>
        <w:tc>
          <w:tcPr>
            <w:tcW w:w="1134" w:type="dxa"/>
          </w:tcPr>
          <w:p w:rsidR="00D40EA8" w:rsidRPr="00251E46" w:rsidRDefault="00D40EA8" w:rsidP="00FC0CD5">
            <w:pPr>
              <w:pStyle w:val="normalwithoutspacing"/>
              <w:rPr>
                <w:rFonts w:eastAsia="SimSun"/>
                <w:kern w:val="1"/>
                <w:lang w:eastAsia="el-GR"/>
              </w:rPr>
            </w:pPr>
          </w:p>
        </w:tc>
        <w:tc>
          <w:tcPr>
            <w:tcW w:w="1275" w:type="dxa"/>
          </w:tcPr>
          <w:p w:rsidR="00D40EA8" w:rsidRPr="00251E46" w:rsidRDefault="00D40EA8" w:rsidP="00FC0CD5">
            <w:pPr>
              <w:pStyle w:val="normalwithoutspacing"/>
              <w:rPr>
                <w:rFonts w:eastAsia="SimSun"/>
                <w:kern w:val="1"/>
                <w:lang w:eastAsia="el-GR"/>
              </w:rPr>
            </w:pPr>
          </w:p>
        </w:tc>
      </w:tr>
    </w:tbl>
    <w:p w:rsidR="00D40EA8" w:rsidRDefault="00D40EA8" w:rsidP="00D40EA8">
      <w:pPr>
        <w:spacing w:line="239" w:lineRule="auto"/>
        <w:ind w:right="-1"/>
        <w:rPr>
          <w:rFonts w:eastAsia="Tahoma" w:cs="Tahoma"/>
          <w:color w:val="000000"/>
          <w:lang w:val="el-GR"/>
        </w:rPr>
      </w:pPr>
    </w:p>
    <w:p w:rsidR="00D40EA8" w:rsidRPr="00AA6817" w:rsidRDefault="00D40EA8" w:rsidP="00D40EA8">
      <w:pPr>
        <w:spacing w:line="239" w:lineRule="auto"/>
        <w:ind w:right="-1"/>
        <w:jc w:val="both"/>
        <w:rPr>
          <w:rFonts w:ascii="Calibri" w:hAnsi="Calibri" w:cs="Calibri"/>
          <w:sz w:val="22"/>
          <w:szCs w:val="24"/>
          <w:lang w:val="el-GR" w:eastAsia="zh-CN"/>
        </w:rPr>
      </w:pPr>
      <w:r w:rsidRPr="00AA6817">
        <w:rPr>
          <w:rFonts w:ascii="Calibri" w:hAnsi="Calibri" w:cs="Calibri"/>
          <w:sz w:val="22"/>
          <w:szCs w:val="24"/>
          <w:lang w:val="el-GR" w:eastAsia="zh-CN"/>
        </w:rPr>
        <w:t>Το Υπόδειγμα υποβολής Οικονομικής Προσφοράς διατίθενται και σε επεξεργάσιμη μορφή στην ιστοσελίδα της Υπηρεσίας (</w:t>
      </w:r>
      <w:hyperlink r:id="rId4" w:history="1">
        <w:r w:rsidRPr="00AA6817">
          <w:rPr>
            <w:rFonts w:ascii="Calibri" w:hAnsi="Calibri" w:cs="Calibri"/>
            <w:sz w:val="22"/>
            <w:lang w:val="el-GR" w:eastAsia="zh-CN"/>
          </w:rPr>
          <w:t>www</w:t>
        </w:r>
        <w:r w:rsidRPr="00AB67B1">
          <w:rPr>
            <w:rFonts w:ascii="Calibri" w:hAnsi="Calibri" w:cs="Calibri"/>
            <w:sz w:val="22"/>
            <w:lang w:val="el-GR" w:eastAsia="zh-CN"/>
          </w:rPr>
          <w:t>.</w:t>
        </w:r>
        <w:r w:rsidRPr="00AA6817">
          <w:rPr>
            <w:rFonts w:ascii="Calibri" w:hAnsi="Calibri" w:cs="Calibri"/>
            <w:sz w:val="22"/>
            <w:lang w:val="el-GR" w:eastAsia="zh-CN"/>
          </w:rPr>
          <w:t>keyd</w:t>
        </w:r>
        <w:r w:rsidRPr="00AB67B1">
          <w:rPr>
            <w:rFonts w:ascii="Calibri" w:hAnsi="Calibri" w:cs="Calibri"/>
            <w:sz w:val="22"/>
            <w:lang w:val="el-GR" w:eastAsia="zh-CN"/>
          </w:rPr>
          <w:t>.</w:t>
        </w:r>
        <w:r w:rsidRPr="00AA6817">
          <w:rPr>
            <w:rFonts w:ascii="Calibri" w:hAnsi="Calibri" w:cs="Calibri"/>
            <w:sz w:val="22"/>
            <w:lang w:val="el-GR" w:eastAsia="zh-CN"/>
          </w:rPr>
          <w:t>gov</w:t>
        </w:r>
        <w:r w:rsidRPr="00AB67B1">
          <w:rPr>
            <w:rFonts w:ascii="Calibri" w:hAnsi="Calibri" w:cs="Calibri"/>
            <w:sz w:val="22"/>
            <w:lang w:val="el-GR" w:eastAsia="zh-CN"/>
          </w:rPr>
          <w:t>.</w:t>
        </w:r>
        <w:r w:rsidRPr="00AA6817">
          <w:rPr>
            <w:rFonts w:ascii="Calibri" w:hAnsi="Calibri" w:cs="Calibri"/>
            <w:sz w:val="22"/>
            <w:lang w:val="el-GR" w:eastAsia="zh-CN"/>
          </w:rPr>
          <w:t>gr</w:t>
        </w:r>
      </w:hyperlink>
      <w:r w:rsidRPr="00AA6817">
        <w:rPr>
          <w:rFonts w:ascii="Calibri" w:hAnsi="Calibri" w:cs="Calibri"/>
          <w:sz w:val="22"/>
          <w:szCs w:val="24"/>
          <w:lang w:val="el-GR" w:eastAsia="zh-CN"/>
        </w:rPr>
        <w:t>).</w:t>
      </w:r>
    </w:p>
    <w:p w:rsidR="00D40EA8" w:rsidRPr="00AA6817" w:rsidRDefault="00D40EA8" w:rsidP="00D40EA8">
      <w:pPr>
        <w:pStyle w:val="normalwithoutspacing"/>
      </w:pPr>
    </w:p>
    <w:p w:rsidR="00D40EA8" w:rsidRPr="00AA6817" w:rsidRDefault="00D40EA8" w:rsidP="00D40EA8">
      <w:pPr>
        <w:spacing w:line="239" w:lineRule="auto"/>
        <w:ind w:right="-1"/>
        <w:jc w:val="both"/>
        <w:rPr>
          <w:rFonts w:ascii="Calibri" w:hAnsi="Calibri" w:cs="Calibri"/>
          <w:sz w:val="22"/>
          <w:szCs w:val="24"/>
          <w:lang w:val="el-GR" w:eastAsia="zh-CN"/>
        </w:rPr>
      </w:pPr>
      <w:r w:rsidRPr="00AA6817">
        <w:rPr>
          <w:rFonts w:ascii="Calibri" w:hAnsi="Calibri" w:cs="Calibri"/>
          <w:sz w:val="22"/>
          <w:szCs w:val="24"/>
          <w:lang w:val="el-GR" w:eastAsia="zh-CN"/>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D40EA8" w:rsidRPr="00AA6817" w:rsidRDefault="00D40EA8" w:rsidP="00D40EA8">
      <w:pPr>
        <w:spacing w:line="239" w:lineRule="auto"/>
        <w:ind w:left="108" w:right="896"/>
        <w:jc w:val="both"/>
        <w:rPr>
          <w:rFonts w:ascii="Calibri" w:hAnsi="Calibri" w:cs="Calibri"/>
          <w:sz w:val="22"/>
          <w:szCs w:val="24"/>
          <w:lang w:val="el-GR" w:eastAsia="zh-CN"/>
        </w:rPr>
      </w:pPr>
    </w:p>
    <w:p w:rsidR="00D40EA8" w:rsidRPr="00AA6817" w:rsidRDefault="00D40EA8" w:rsidP="00D40EA8">
      <w:pPr>
        <w:spacing w:line="239" w:lineRule="auto"/>
        <w:ind w:right="-1"/>
        <w:jc w:val="both"/>
        <w:rPr>
          <w:rFonts w:ascii="Calibri" w:hAnsi="Calibri" w:cs="Calibri"/>
          <w:sz w:val="22"/>
          <w:szCs w:val="24"/>
          <w:lang w:val="el-GR" w:eastAsia="zh-CN"/>
        </w:rPr>
      </w:pPr>
      <w:r w:rsidRPr="00AA6817">
        <w:rPr>
          <w:rFonts w:ascii="Calibri" w:hAnsi="Calibri" w:cs="Calibri"/>
          <w:sz w:val="22"/>
          <w:szCs w:val="24"/>
          <w:lang w:val="el-GR" w:eastAsia="zh-CN"/>
        </w:rPr>
        <w:t>Επισημαίνεται ότι στην τιμή περιλαμβάνονται οι υπέρ τρίτων κρατήσεις, ως και κάθε άλλη επιβάρυνση, σύμφωνα με τη νομοθεσία, μη συμπεριλαμβανομένου ΦΠΑ.</w:t>
      </w:r>
    </w:p>
    <w:p w:rsidR="00D40EA8" w:rsidRDefault="00D40EA8" w:rsidP="00D40EA8">
      <w:pPr>
        <w:pStyle w:val="normalwithoutspacing"/>
      </w:pPr>
    </w:p>
    <w:p w:rsidR="00D40EA8" w:rsidRPr="00257245" w:rsidRDefault="00D40EA8" w:rsidP="00D40EA8">
      <w:pPr>
        <w:spacing w:line="239" w:lineRule="auto"/>
        <w:ind w:right="-1"/>
        <w:jc w:val="both"/>
        <w:rPr>
          <w:rFonts w:ascii="Calibri" w:hAnsi="Calibri" w:cs="Calibri"/>
          <w:sz w:val="22"/>
          <w:szCs w:val="24"/>
          <w:lang w:val="el-GR" w:eastAsia="zh-CN"/>
        </w:rPr>
      </w:pPr>
      <w:r>
        <w:rPr>
          <w:rFonts w:ascii="Calibri" w:hAnsi="Calibri" w:cs="Calibri"/>
          <w:sz w:val="22"/>
          <w:szCs w:val="24"/>
          <w:lang w:val="el-GR" w:eastAsia="zh-CN"/>
        </w:rPr>
        <w:t xml:space="preserve">Οι ενδιαφερόμενοι που θα υποβάλλουν προσφορά για περισσότερα του ενός Τμήματος της παρούσας διακήρυξης, </w:t>
      </w:r>
      <w:r w:rsidRPr="00ED1052">
        <w:rPr>
          <w:rFonts w:ascii="Calibri" w:hAnsi="Calibri" w:cs="Calibri"/>
          <w:b/>
          <w:sz w:val="22"/>
          <w:szCs w:val="24"/>
          <w:lang w:val="el-GR" w:eastAsia="zh-CN"/>
        </w:rPr>
        <w:t>υποχρεούται</w:t>
      </w:r>
      <w:r>
        <w:rPr>
          <w:rFonts w:ascii="Calibri" w:hAnsi="Calibri" w:cs="Calibri"/>
          <w:sz w:val="22"/>
          <w:szCs w:val="24"/>
          <w:lang w:val="el-GR" w:eastAsia="zh-CN"/>
        </w:rPr>
        <w:t xml:space="preserve"> να καταθέσουν </w:t>
      </w:r>
      <w:r w:rsidRPr="00867646">
        <w:rPr>
          <w:rFonts w:ascii="Calibri" w:hAnsi="Calibri" w:cs="Calibri"/>
          <w:sz w:val="22"/>
          <w:szCs w:val="24"/>
          <w:u w:val="single"/>
          <w:lang w:val="el-GR" w:eastAsia="zh-CN"/>
        </w:rPr>
        <w:t>ξεχωριστό, για κάθε τμήμα,</w:t>
      </w:r>
      <w:r>
        <w:rPr>
          <w:rFonts w:ascii="Calibri" w:hAnsi="Calibri" w:cs="Calibri"/>
          <w:sz w:val="22"/>
          <w:szCs w:val="24"/>
          <w:lang w:val="el-GR" w:eastAsia="zh-CN"/>
        </w:rPr>
        <w:t xml:space="preserve"> σφραγισμένο φάκελο οικονομικής προσφοράς.</w:t>
      </w:r>
    </w:p>
    <w:p w:rsidR="00D40EA8" w:rsidRPr="00AA6817" w:rsidRDefault="00D40EA8" w:rsidP="00D40EA8">
      <w:pPr>
        <w:pStyle w:val="normalwithoutspacing"/>
      </w:pPr>
    </w:p>
    <w:p w:rsidR="00D40EA8" w:rsidRDefault="00D40EA8" w:rsidP="00D40EA8">
      <w:pPr>
        <w:spacing w:before="120"/>
        <w:jc w:val="both"/>
        <w:rPr>
          <w:rFonts w:ascii="Calibri" w:hAnsi="Calibri" w:cs="Calibri"/>
          <w:sz w:val="22"/>
          <w:szCs w:val="24"/>
          <w:lang w:val="el-GR" w:eastAsia="zh-CN"/>
        </w:rPr>
      </w:pPr>
      <w:r w:rsidRPr="00AA6817">
        <w:rPr>
          <w:rFonts w:ascii="Calibri" w:hAnsi="Calibri" w:cs="Calibri"/>
          <w:sz w:val="22"/>
          <w:szCs w:val="24"/>
          <w:lang w:val="el-GR" w:eastAsia="zh-CN"/>
        </w:rPr>
        <w:t xml:space="preserve">Οι ενδιαφερόμενοι για υποβολή προσφοράς αναφορικά με το </w:t>
      </w:r>
      <w:r w:rsidRPr="00AA6817">
        <w:rPr>
          <w:rFonts w:ascii="Calibri" w:hAnsi="Calibri" w:cs="Calibri"/>
          <w:b/>
          <w:sz w:val="22"/>
          <w:szCs w:val="24"/>
          <w:lang w:val="el-GR" w:eastAsia="zh-CN"/>
        </w:rPr>
        <w:t>Τμήμα Α΄</w:t>
      </w:r>
      <w:r w:rsidRPr="00AA6817">
        <w:rPr>
          <w:rFonts w:ascii="Calibri" w:hAnsi="Calibri" w:cs="Calibri"/>
          <w:sz w:val="22"/>
          <w:szCs w:val="24"/>
          <w:lang w:val="el-GR" w:eastAsia="zh-CN"/>
        </w:rPr>
        <w:t xml:space="preserve"> της παρούσας διακήρυξης οφείλουν να δηλώσουν το ετήσιο κόστος συντήρη</w:t>
      </w:r>
      <w:r>
        <w:rPr>
          <w:rFonts w:ascii="Calibri" w:hAnsi="Calibri" w:cs="Calibri"/>
          <w:sz w:val="22"/>
          <w:szCs w:val="24"/>
          <w:lang w:val="el-GR" w:eastAsia="zh-CN"/>
        </w:rPr>
        <w:t xml:space="preserve">σης των ειδών. </w:t>
      </w:r>
      <w:r w:rsidRPr="00AA6817">
        <w:rPr>
          <w:rFonts w:ascii="Calibri" w:hAnsi="Calibri" w:cs="Calibri"/>
          <w:sz w:val="22"/>
          <w:szCs w:val="24"/>
          <w:lang w:val="el-GR" w:eastAsia="zh-CN"/>
        </w:rPr>
        <w:t>Αναφέρεται ρητώς ότι η Αναθέτουσα Αρχή κατά την επι</w:t>
      </w:r>
      <w:r>
        <w:rPr>
          <w:rFonts w:ascii="Calibri" w:hAnsi="Calibri" w:cs="Calibri"/>
          <w:sz w:val="22"/>
          <w:szCs w:val="24"/>
          <w:lang w:val="el-GR" w:eastAsia="zh-CN"/>
        </w:rPr>
        <w:t>λογή του μειοδότη για το Τμήμα Α΄</w:t>
      </w:r>
      <w:r w:rsidRPr="00AA6817">
        <w:rPr>
          <w:rFonts w:ascii="Calibri" w:hAnsi="Calibri" w:cs="Calibri"/>
          <w:sz w:val="22"/>
          <w:szCs w:val="24"/>
          <w:lang w:val="el-GR" w:eastAsia="zh-CN"/>
        </w:rPr>
        <w:t xml:space="preserve">, </w:t>
      </w:r>
      <w:r w:rsidRPr="0007660B">
        <w:rPr>
          <w:rFonts w:ascii="Calibri" w:hAnsi="Calibri" w:cs="Calibri"/>
          <w:b/>
          <w:sz w:val="22"/>
          <w:szCs w:val="24"/>
          <w:lang w:val="el-GR" w:eastAsia="zh-CN"/>
        </w:rPr>
        <w:t>θα αξιολογήσει μόνο το κόστος κτήσης</w:t>
      </w:r>
      <w:r w:rsidRPr="00AA6817">
        <w:rPr>
          <w:rFonts w:ascii="Calibri" w:hAnsi="Calibri" w:cs="Calibri"/>
          <w:sz w:val="22"/>
          <w:szCs w:val="24"/>
          <w:lang w:val="el-GR" w:eastAsia="zh-CN"/>
        </w:rPr>
        <w:t xml:space="preserve">. Το δηλωθέν  ετήσιο κόστος συντήρησης δεν θα αξιολογηθεί στα πλαίσια ανάθεσης της παρούσας διακήρυξης. </w:t>
      </w:r>
    </w:p>
    <w:p w:rsidR="00D40EA8" w:rsidRPr="00AA6817" w:rsidRDefault="00D40EA8" w:rsidP="00D40EA8">
      <w:pPr>
        <w:spacing w:before="120"/>
        <w:jc w:val="both"/>
        <w:rPr>
          <w:rFonts w:ascii="Calibri" w:hAnsi="Calibri" w:cs="Calibri"/>
          <w:sz w:val="22"/>
          <w:szCs w:val="24"/>
          <w:lang w:val="el-GR" w:eastAsia="zh-CN"/>
        </w:rPr>
      </w:pPr>
    </w:p>
    <w:p w:rsidR="00D40EA8" w:rsidRPr="00AA6817" w:rsidRDefault="00D40EA8" w:rsidP="00D40EA8">
      <w:pPr>
        <w:pStyle w:val="normalwithoutspacing"/>
      </w:pPr>
      <w:r w:rsidRPr="00AA6817">
        <w:t xml:space="preserve"> Η Αναθέτουσα Αρχή μετά την παρέλευση του χρόνου καλής λειτουργίας και </w:t>
      </w:r>
      <w:r w:rsidRPr="003F76CA">
        <w:rPr>
          <w:b/>
        </w:rPr>
        <w:t>εφόσον προκύπτει ανάγκη</w:t>
      </w:r>
      <w:r w:rsidRPr="00AA6817">
        <w:t>, έχει δικαίωμα να προβεί σε ανάθεση της συντήρησης του εξοπλισμού στον προμηθευτή ή σε άλλον συντηρητή κατά την κρίση της. Το δηλωθέν ετήσιο κόστος συντήρησης θα είναι δεσμευτικό για τους προσφέροντες για χρονική περίοδο πενταετίας από την υποβολή της προσφοράς τους. Βασική προϋπόθεση για την ανάθεση των υπηρεσιών συντήρησης είναι η προηγούμενη εξασφάλιση των σχετικών πιστώσεων στον τακτικό προϋπολογισμό της Ε.Γ.Δ.Ι.Χ. του οικονομικού έτους κατά τη διάρκεια του οποίου θα παρασχεθούν οι υπηρεσίες αυτές. Εφόσον ανατεθούν στον προμηθευτή υπηρεσίες συντήρησης του εξοπλισμού, οι όροι και ο τρόπος πληρωμής θα περιγράφονται στη σχετική σύμβαση.</w:t>
      </w:r>
    </w:p>
    <w:p w:rsidR="00235142" w:rsidRPr="00D40EA8" w:rsidRDefault="00235142">
      <w:pPr>
        <w:rPr>
          <w:lang w:val="el-GR"/>
        </w:rPr>
      </w:pPr>
    </w:p>
    <w:sectPr w:rsidR="00235142" w:rsidRPr="00D40EA8" w:rsidSect="002351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EA8"/>
    <w:rsid w:val="00235142"/>
    <w:rsid w:val="00D40E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A8"/>
    <w:pPr>
      <w:spacing w:after="0" w:line="240" w:lineRule="auto"/>
    </w:pPr>
    <w:rPr>
      <w:rFonts w:ascii="CG Times" w:eastAsia="Times New Roman" w:hAnsi="CG Times" w:cs="Times New Roman"/>
      <w:sz w:val="20"/>
      <w:szCs w:val="20"/>
      <w:lang w:val="en-US" w:eastAsia="el-GR"/>
    </w:rPr>
  </w:style>
  <w:style w:type="paragraph" w:styleId="1">
    <w:name w:val="heading 1"/>
    <w:basedOn w:val="a"/>
    <w:next w:val="a"/>
    <w:link w:val="1Char"/>
    <w:uiPriority w:val="9"/>
    <w:qFormat/>
    <w:rsid w:val="00D40E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1,H22,H211,H23,H212,H221,H2111,H24,H213,H222,H2112,H231,H2121,H2211,H21111,H25,H26,H214,H223,H2113,H27,H215,H224,H2114,H28,H216,H225,H2115,H232,H241,H2122,H2212,H21112,H251,H2131,H2221,H21121,H261,H2141,H2231,H21131,H271,H2151,H2241,2"/>
    <w:basedOn w:val="a"/>
    <w:next w:val="a"/>
    <w:link w:val="2Char"/>
    <w:uiPriority w:val="9"/>
    <w:qFormat/>
    <w:rsid w:val="00D40EA8"/>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hAnsi="Arial"/>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40EA8"/>
    <w:rPr>
      <w:rFonts w:ascii="Arial" w:eastAsia="Times New Roman" w:hAnsi="Arial" w:cs="Times New Roman"/>
      <w:b/>
      <w:color w:val="002060"/>
      <w:sz w:val="24"/>
      <w:lang w:val="en-GB" w:eastAsia="zh-CN"/>
    </w:rPr>
  </w:style>
  <w:style w:type="paragraph" w:customStyle="1" w:styleId="normalwithoutspacing">
    <w:name w:val="normal_without_spacing"/>
    <w:basedOn w:val="a"/>
    <w:rsid w:val="00D40EA8"/>
    <w:pPr>
      <w:suppressAutoHyphens/>
      <w:spacing w:after="60"/>
      <w:jc w:val="both"/>
    </w:pPr>
    <w:rPr>
      <w:rFonts w:ascii="Calibri" w:hAnsi="Calibri" w:cs="Calibri"/>
      <w:sz w:val="22"/>
      <w:szCs w:val="24"/>
      <w:lang w:val="el-GR" w:eastAsia="zh-CN"/>
    </w:rPr>
  </w:style>
  <w:style w:type="character" w:customStyle="1" w:styleId="1Char">
    <w:name w:val="Επικεφαλίδα 1 Char"/>
    <w:basedOn w:val="a0"/>
    <w:link w:val="1"/>
    <w:uiPriority w:val="9"/>
    <w:rsid w:val="00D40EA8"/>
    <w:rPr>
      <w:rFonts w:asciiTheme="majorHAnsi" w:eastAsiaTheme="majorEastAsia" w:hAnsiTheme="majorHAnsi" w:cstheme="majorBidi"/>
      <w:b/>
      <w:bCs/>
      <w:color w:val="365F91" w:themeColor="accent1" w:themeShade="BF"/>
      <w:sz w:val="28"/>
      <w:szCs w:val="28"/>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y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2005</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2018-10-03T06:52:00Z</dcterms:created>
  <dcterms:modified xsi:type="dcterms:W3CDTF">2018-10-03T06:53:00Z</dcterms:modified>
</cp:coreProperties>
</file>