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-743" w:type="dxa"/>
        <w:tblLayout w:type="fixed"/>
        <w:tblLook w:val="04A0"/>
      </w:tblPr>
      <w:tblGrid>
        <w:gridCol w:w="9959"/>
      </w:tblGrid>
      <w:tr w:rsidR="00CB081B" w:rsidRPr="00E6680B" w:rsidTr="00DA43E0">
        <w:trPr>
          <w:trHeight w:val="139"/>
        </w:trPr>
        <w:tc>
          <w:tcPr>
            <w:tcW w:w="9959" w:type="dxa"/>
          </w:tcPr>
          <w:p w:rsidR="008E5EC0" w:rsidRDefault="008E5EC0" w:rsidP="00CB081B">
            <w:pPr>
              <w:widowControl w:val="0"/>
              <w:autoSpaceDE w:val="0"/>
              <w:autoSpaceDN w:val="0"/>
              <w:adjustRightInd w:val="0"/>
              <w:ind w:left="25" w:right="103"/>
              <w:jc w:val="center"/>
              <w:rPr>
                <w:rFonts w:ascii="Calibri" w:hAnsi="Calibri" w:cs="Calibri"/>
                <w:b/>
                <w:sz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lang w:val="el-GR"/>
              </w:rPr>
              <w:t>Τμήμα 2</w:t>
            </w:r>
          </w:p>
          <w:p w:rsidR="00CB081B" w:rsidRPr="00E6680B" w:rsidRDefault="00CB081B" w:rsidP="00CB081B">
            <w:pPr>
              <w:widowControl w:val="0"/>
              <w:autoSpaceDE w:val="0"/>
              <w:autoSpaceDN w:val="0"/>
              <w:adjustRightInd w:val="0"/>
              <w:ind w:left="25" w:right="103"/>
              <w:jc w:val="center"/>
              <w:rPr>
                <w:rFonts w:ascii="Calibri" w:hAnsi="Calibri" w:cs="Calibri"/>
                <w:b/>
                <w:sz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lang w:val="el-GR"/>
              </w:rPr>
              <w:t xml:space="preserve"> </w:t>
            </w:r>
            <w:r w:rsidRPr="00E6680B">
              <w:rPr>
                <w:rFonts w:ascii="Calibri" w:hAnsi="Calibri" w:cs="Calibri"/>
                <w:b/>
                <w:sz w:val="24"/>
                <w:lang w:val="el-GR"/>
              </w:rPr>
              <w:t xml:space="preserve">Προμήθεια δικτυακών </w:t>
            </w:r>
            <w:proofErr w:type="spellStart"/>
            <w:r w:rsidRPr="00E6680B">
              <w:rPr>
                <w:rFonts w:ascii="Calibri" w:hAnsi="Calibri" w:cs="Calibri"/>
                <w:b/>
                <w:sz w:val="24"/>
                <w:lang w:val="el-GR"/>
              </w:rPr>
              <w:t>switches</w:t>
            </w:r>
            <w:proofErr w:type="spellEnd"/>
          </w:p>
        </w:tc>
      </w:tr>
    </w:tbl>
    <w:p w:rsidR="00CB081B" w:rsidRPr="00E6680B" w:rsidRDefault="00CB081B" w:rsidP="00CB081B">
      <w:pPr>
        <w:widowControl w:val="0"/>
        <w:autoSpaceDE w:val="0"/>
        <w:autoSpaceDN w:val="0"/>
        <w:adjustRightInd w:val="0"/>
        <w:ind w:left="25" w:right="103"/>
        <w:rPr>
          <w:rFonts w:ascii="Calibri" w:hAnsi="Calibri" w:cs="Calibri"/>
          <w:b/>
          <w:sz w:val="24"/>
          <w:lang w:val="el-GR"/>
        </w:rPr>
      </w:pPr>
    </w:p>
    <w:p w:rsidR="00CB081B" w:rsidRPr="001F4F01" w:rsidRDefault="00CB081B" w:rsidP="00CB081B">
      <w:pPr>
        <w:suppressAutoHyphens/>
        <w:spacing w:line="239" w:lineRule="auto"/>
        <w:jc w:val="both"/>
        <w:rPr>
          <w:rFonts w:ascii="Calibri" w:hAnsi="Calibri" w:cs="Calibri"/>
          <w:b/>
          <w:sz w:val="24"/>
          <w:lang w:val="el-GR"/>
        </w:rPr>
      </w:pPr>
      <w:r w:rsidRPr="006A1847">
        <w:rPr>
          <w:rFonts w:ascii="Calibri" w:hAnsi="Calibri" w:cs="Calibri"/>
          <w:b/>
          <w:sz w:val="24"/>
          <w:lang w:val="el-GR"/>
        </w:rPr>
        <w:t xml:space="preserve">CPV: </w:t>
      </w:r>
      <w:r>
        <w:rPr>
          <w:rFonts w:ascii="Calibri" w:hAnsi="Calibri" w:cs="Calibri"/>
          <w:b/>
          <w:sz w:val="24"/>
          <w:lang w:val="el-GR"/>
        </w:rPr>
        <w:t>32420000-3</w:t>
      </w:r>
      <w:r w:rsidRPr="006A1847">
        <w:rPr>
          <w:rFonts w:ascii="Calibri" w:hAnsi="Calibri" w:cs="Calibri"/>
          <w:b/>
          <w:sz w:val="24"/>
          <w:lang w:val="el-GR"/>
        </w:rPr>
        <w:t xml:space="preserve"> “</w:t>
      </w:r>
      <w:r>
        <w:rPr>
          <w:rFonts w:ascii="Calibri" w:hAnsi="Calibri" w:cs="Calibri"/>
          <w:b/>
          <w:sz w:val="24"/>
          <w:lang w:val="el-GR"/>
        </w:rPr>
        <w:t xml:space="preserve">Εξοπλισμός δικτύου </w:t>
      </w:r>
      <w:r w:rsidRPr="006A1847">
        <w:rPr>
          <w:rFonts w:ascii="Calibri" w:hAnsi="Calibri" w:cs="Calibri"/>
          <w:b/>
          <w:sz w:val="24"/>
          <w:lang w:val="el-GR"/>
        </w:rPr>
        <w:t xml:space="preserve">”, </w:t>
      </w:r>
    </w:p>
    <w:p w:rsidR="00B97634" w:rsidRDefault="00B97634">
      <w:pPr>
        <w:rPr>
          <w:lang w:val="el-GR"/>
        </w:rPr>
      </w:pPr>
    </w:p>
    <w:p w:rsidR="00A914A5" w:rsidRDefault="00A914A5">
      <w:pPr>
        <w:rPr>
          <w:lang w:val="el-GR"/>
        </w:rPr>
      </w:pPr>
    </w:p>
    <w:p w:rsidR="00CB081B" w:rsidRPr="00E5507F" w:rsidRDefault="00CB081B" w:rsidP="00CB081B">
      <w:pPr>
        <w:pStyle w:val="normalwithoutspacing"/>
        <w:ind w:left="-709"/>
        <w:rPr>
          <w:b/>
          <w:sz w:val="24"/>
        </w:rPr>
      </w:pPr>
      <w:r w:rsidRPr="00E5507F">
        <w:rPr>
          <w:b/>
          <w:sz w:val="24"/>
        </w:rPr>
        <w:t xml:space="preserve">2.1 Προμήθεια, εγκατάσταση και παραμετροποίηση δικτυακού </w:t>
      </w:r>
      <w:r w:rsidRPr="00E5507F">
        <w:rPr>
          <w:b/>
          <w:sz w:val="24"/>
          <w:lang w:val="en-US"/>
        </w:rPr>
        <w:t>switch</w:t>
      </w:r>
      <w:r w:rsidRPr="00E5507F">
        <w:rPr>
          <w:b/>
          <w:sz w:val="24"/>
        </w:rPr>
        <w:t xml:space="preserve"> 48-</w:t>
      </w:r>
      <w:r w:rsidRPr="00E5507F">
        <w:rPr>
          <w:b/>
          <w:sz w:val="24"/>
          <w:lang w:val="en-US"/>
        </w:rPr>
        <w:t>port</w:t>
      </w:r>
      <w:r>
        <w:rPr>
          <w:b/>
          <w:sz w:val="24"/>
        </w:rPr>
        <w:t xml:space="preserve"> </w:t>
      </w:r>
    </w:p>
    <w:p w:rsidR="00CB081B" w:rsidRDefault="00CB081B" w:rsidP="00CB081B">
      <w:pPr>
        <w:pStyle w:val="normalwithoutspacing"/>
        <w:jc w:val="center"/>
        <w:rPr>
          <w:rFonts w:eastAsia="SimSun"/>
          <w:b/>
          <w:iCs/>
          <w:szCs w:val="22"/>
        </w:rPr>
      </w:pPr>
    </w:p>
    <w:p w:rsidR="00CB081B" w:rsidRPr="00E6680B" w:rsidRDefault="00CB081B" w:rsidP="00CB081B">
      <w:pPr>
        <w:pStyle w:val="normalwithoutspacing"/>
        <w:jc w:val="center"/>
        <w:rPr>
          <w:rFonts w:eastAsia="SimSun"/>
          <w:b/>
          <w:iCs/>
          <w:szCs w:val="22"/>
        </w:rPr>
      </w:pPr>
      <w:r>
        <w:rPr>
          <w:rFonts w:eastAsia="SimSun"/>
          <w:b/>
          <w:iCs/>
          <w:szCs w:val="22"/>
        </w:rPr>
        <w:t xml:space="preserve">ΠΙΝΑΚΑΣ </w:t>
      </w:r>
      <w:r w:rsidRPr="00E6680B">
        <w:rPr>
          <w:rFonts w:eastAsia="SimSun"/>
          <w:b/>
          <w:iCs/>
          <w:szCs w:val="22"/>
        </w:rPr>
        <w:t xml:space="preserve">ΣΥΜΜΟΡΦΩΣΗΣ </w:t>
      </w:r>
    </w:p>
    <w:p w:rsidR="00CB081B" w:rsidRPr="00282913" w:rsidRDefault="00CB081B" w:rsidP="00CB081B">
      <w:pPr>
        <w:rPr>
          <w:rFonts w:ascii="Calibri" w:eastAsia="SimSun" w:hAnsi="Calibri" w:cs="Calibri"/>
          <w:kern w:val="1"/>
          <w:sz w:val="22"/>
          <w:szCs w:val="24"/>
          <w:lang w:val="el-GR"/>
        </w:rPr>
      </w:pPr>
    </w:p>
    <w:tbl>
      <w:tblPr>
        <w:tblpPr w:leftFromText="181" w:rightFromText="181" w:vertAnchor="text" w:horzAnchor="margin" w:tblpXSpec="center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111"/>
        <w:gridCol w:w="1417"/>
        <w:gridCol w:w="1418"/>
        <w:gridCol w:w="1702"/>
      </w:tblGrid>
      <w:tr w:rsidR="00CB081B" w:rsidTr="00CB081B">
        <w:trPr>
          <w:trHeight w:val="8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B081B" w:rsidRDefault="00CB081B" w:rsidP="00DA43E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  <w:t>A/A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B081B" w:rsidRDefault="00CB081B" w:rsidP="00DA43E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9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  <w:t>ΧΑΡΑΚΤHΡΙΣΤΙΚΑ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B081B" w:rsidRDefault="00CB081B" w:rsidP="00DA43E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B081B" w:rsidRDefault="00CB081B" w:rsidP="00DA43E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 w:eastAsia="en-US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CB081B" w:rsidRDefault="00CB081B" w:rsidP="00CB081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 w:eastAsia="en-US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 w:eastAsia="en-US"/>
              </w:rPr>
              <w:t>ΠΑΡΑΠΟΜΠΗ</w:t>
            </w:r>
          </w:p>
        </w:tc>
      </w:tr>
      <w:tr w:rsidR="00CB081B" w:rsidTr="00CB081B">
        <w:trPr>
          <w:trHeight w:val="41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l-GR"/>
              </w:rPr>
            </w:pP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>Το 48-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port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switch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να ενσωματωθεί στο υφιστάμενο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stack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των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switches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B081B" w:rsidTr="00CB081B">
        <w:trPr>
          <w:trHeight w:val="42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D0F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Τύπος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:  L2 + L3 basic, Managed Gigabit Ethernet stackable switch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081B" w:rsidRPr="009413E6" w:rsidTr="00CB081B">
        <w:trPr>
          <w:trHeight w:val="43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αναφερθεί το προσφερόμενο μοντέλο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081B" w:rsidTr="00CB081B">
        <w:trPr>
          <w:trHeight w:val="5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Θερμοκρασία λειτουργίας: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τουλάχιστον από 0 έως 45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081B" w:rsidTr="00CB081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Φυσικές διαστάσεις: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19’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rack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mounted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ύψος: 1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μέγιστο βάθος:</w:t>
            </w:r>
          </w:p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36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081B" w:rsidRPr="000F059B" w:rsidTr="00CB081B">
        <w:trPr>
          <w:trHeight w:val="72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DA43E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Πόρτες χαλκού RJ45: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Όλες οι πόρτες χαλκού να υποστηρίζουν 10/100/1000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Mbps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auto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speed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negotiation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auto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MDI/MDI-X.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</w:tr>
      <w:tr w:rsidR="007B7B81" w:rsidTr="00861899">
        <w:trPr>
          <w:trHeight w:val="241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1" w:rsidRPr="000D0FBF" w:rsidRDefault="007B7B81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Pr="000D0FBF" w:rsidRDefault="007B7B81" w:rsidP="00DA43E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Οπτικές πόρτες: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2 τουλάχιστον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SFP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slots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στα ≥1</w:t>
            </w:r>
            <w:proofErr w:type="spellStart"/>
            <w:r w:rsidRPr="000D0FBF"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. Οι οπτικές πόρτες να είναι επιπρόσθετες των πορτών χαλκού: η χρήση τους δεν πρέπει να μειώνει το αριθμό πορτών χαλκού του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switch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(48). Να δέχονται όλα τα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industry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standard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SFP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modules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της αγοράς (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SX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και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LX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). Δεν πρέπει να απαιτούν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vendor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dependent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SFP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sz w:val="22"/>
                <w:szCs w:val="22"/>
              </w:rPr>
              <w:t>transceivers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στα 1</w:t>
            </w:r>
            <w:proofErr w:type="spellStart"/>
            <w:r w:rsidRPr="000D0FBF"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Pr="000D0FBF" w:rsidRDefault="007B7B81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1" w:rsidRPr="000D0FBF" w:rsidRDefault="007B7B81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81" w:rsidRPr="000D0FBF" w:rsidRDefault="007B7B81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081B" w:rsidTr="00CB081B">
        <w:trPr>
          <w:trHeight w:val="12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0D0FBF" w:rsidRDefault="00CB081B" w:rsidP="00DA43E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Stacking: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Τουλάχιστον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switch-units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ανά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stack.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Απαιτείται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resilient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ring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stacking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σε ταχύτητα &gt; 6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Gbps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με ξεχωριστές πόρτες. Απαιτείται δυνατότητα συνύπαρξης 24-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ports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και 48-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ports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switch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units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στο ίδιο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stack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δίνοντας έως 4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48 = 192 πόρτες χαλκού ανά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stack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081B" w:rsidTr="00CB081B">
        <w:trPr>
          <w:trHeight w:val="34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0D0FBF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0D0FBF" w:rsidRDefault="00CB081B" w:rsidP="00DA43E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Διαχείριση: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έχει ασύγχρονη πόρτα (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console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access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) για τοπική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out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band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πλήρη διαχείριση.</w:t>
            </w:r>
            <w:r w:rsidRPr="000D0FB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Να είναι δικτυακά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διαχειρίσιμο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μέσω των σύγχρονων 64-bits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web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browsers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σε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https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χωρίς την ανάγκη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java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 ή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java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plugins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 Επίσης, μέσω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terminal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σε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ssh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telnet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 Να υποστηρίζει και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telnet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client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δηλαδή να μπορούμε να ξεκινήσουμε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telnet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συνδέσεις από το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switch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προς τα άλλα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switches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 </w:t>
            </w:r>
          </w:p>
          <w:p w:rsidR="00CB081B" w:rsidRPr="000D0FBF" w:rsidRDefault="00CB081B" w:rsidP="00DA43E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υποστηρίζει χρήστες διαχείρισης με διαφορετικά επίπεδα ασφαλείας (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read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only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full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rights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κλπ). Η παρακολούθηση και ο έλεγχός του σε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real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time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να μπορεί να ολοκληρωθεί στο κεντρικό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NMS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της ΓΓΠΣ του Υπουργείου Οικονομικών, το οποίο είναι το </w:t>
            </w:r>
            <w:proofErr w:type="spellStart"/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SNMPc</w:t>
            </w:r>
            <w:proofErr w:type="spellEnd"/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7.018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Enterprise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Edition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της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Castle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Rock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Computing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και «τρέχει» σε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Windows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Server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2003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SE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SP</w:t>
            </w:r>
            <w:r w:rsidRPr="000D0FB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FBF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0D0FBF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681A28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E3682A" w:rsidRDefault="00CB081B" w:rsidP="00DA43E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Ενημέρωση: </w:t>
            </w:r>
            <w:r w:rsidRPr="00E3682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Ο προμηθευτής θα κάνει σεμινάριο/επίδειξη μίας ή δύο ημερών, στους χώρους της ΕΓΔΙΧ ή της ΓΓΠΣ, για τον τρόπο διαχείρισης και παραμετροποίησης των </w:t>
            </w: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switches</w:t>
            </w:r>
            <w:r w:rsidRPr="00E3682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 Θα παραδώσει όλα τα εγχειρίδια των </w:t>
            </w: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switches</w:t>
            </w:r>
            <w:r w:rsidRPr="00E3682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σε ηλεκτρονική μορφή.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E3682A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Εγγύηση καλής λειτουργίας – δωρεάν συντήρησης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 xml:space="preserve">≥ 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>Διαθεσιμότητα ανταλλακτικών (συνολικά έτη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802.1x  port-based network access control – authentication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7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>802.1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q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vlans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περισσότερα από 200 στατικά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vlans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>.</w:t>
            </w:r>
          </w:p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 xml:space="preserve">Trunk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και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General trunk mode.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 xml:space="preserve">Voice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vlan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802.1p  class of service, priority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3682A">
              <w:rPr>
                <w:rFonts w:ascii="Calibri" w:hAnsi="Calibri" w:cs="Calibri"/>
                <w:sz w:val="22"/>
                <w:szCs w:val="22"/>
              </w:rPr>
              <w:t>802.3ad  Link</w:t>
            </w:r>
            <w:proofErr w:type="gram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Aggregation – (LACP) </w:t>
            </w:r>
            <w:r w:rsidRPr="00E3682A">
              <w:rPr>
                <w:rFonts w:ascii="Calibri" w:hAnsi="Calibri" w:cs="Calibri"/>
                <w:b/>
                <w:sz w:val="22"/>
                <w:szCs w:val="22"/>
              </w:rPr>
              <w:t>across stack units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73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802.1w (RSTP)</w:t>
            </w:r>
          </w:p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802.1s  (MSTP)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802.3x  Flow control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val="el-GR"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Port Mirroring or SPAN (Switched Port Analyzer).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 xml:space="preserve">ACLs (Access Control Lists)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στο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επίπεδο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2 (MAC), 3 (IP)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και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4 (headers).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</w:tr>
      <w:tr w:rsidR="00CB081B" w:rsidTr="00CB081B">
        <w:trPr>
          <w:trHeight w:val="123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Basic L3 features :</w:t>
            </w:r>
            <w:r w:rsidRPr="00E3682A">
              <w:rPr>
                <w:rFonts w:ascii="Calibri" w:hAnsi="Calibri" w:cs="Calibri"/>
                <w:sz w:val="22"/>
                <w:szCs w:val="22"/>
              </w:rPr>
              <w:br/>
              <w:t xml:space="preserve">- IPv4 interface/address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ανά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VLAN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καθώς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και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secondary IP</w:t>
            </w:r>
          </w:p>
          <w:p w:rsidR="00CB081B" w:rsidRPr="00E3682A" w:rsidRDefault="00CB081B" w:rsidP="00DA43E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gramStart"/>
            <w:r w:rsidRPr="00E3682A">
              <w:rPr>
                <w:rFonts w:ascii="Calibri" w:hAnsi="Calibri" w:cs="Calibri"/>
                <w:sz w:val="22"/>
                <w:szCs w:val="22"/>
              </w:rPr>
              <w:t>interfaces</w:t>
            </w:r>
            <w:proofErr w:type="gram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/ addresses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ανά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vlan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>.</w:t>
            </w:r>
            <w:r w:rsidRPr="00E3682A">
              <w:rPr>
                <w:rFonts w:ascii="Calibri" w:hAnsi="Calibri" w:cs="Calibri"/>
                <w:sz w:val="22"/>
                <w:szCs w:val="22"/>
              </w:rPr>
              <w:br/>
              <w:t xml:space="preserve">- </w:t>
            </w:r>
            <w:proofErr w:type="gramStart"/>
            <w:r w:rsidRPr="00E3682A">
              <w:rPr>
                <w:rFonts w:ascii="Calibri" w:hAnsi="Calibri" w:cs="Calibri"/>
                <w:sz w:val="22"/>
                <w:szCs w:val="22"/>
              </w:rPr>
              <w:t>static</w:t>
            </w:r>
            <w:proofErr w:type="gram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IPv4 routes,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τουλάχιστον</w:t>
            </w:r>
            <w:proofErr w:type="spellEnd"/>
            <w:r w:rsidRPr="00E3682A">
              <w:rPr>
                <w:rFonts w:ascii="Calibri" w:hAnsi="Calibri" w:cs="Calibri"/>
                <w:sz w:val="22"/>
                <w:szCs w:val="22"/>
              </w:rPr>
              <w:t xml:space="preserve"> 60.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</w:tr>
      <w:tr w:rsidR="00CB081B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 xml:space="preserve">Switching capacity (ή fabric): &gt; 120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</w:tr>
      <w:tr w:rsidR="00CB081B" w:rsidTr="00CB081B">
        <w:trPr>
          <w:trHeight w:val="94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 xml:space="preserve">Forwarding rate (ή throughput): &gt; 100 </w:t>
            </w:r>
            <w:proofErr w:type="spellStart"/>
            <w:r w:rsidRPr="00E3682A">
              <w:rPr>
                <w:rFonts w:ascii="Calibri" w:hAnsi="Calibri" w:cs="Calibri"/>
                <w:sz w:val="22"/>
                <w:szCs w:val="22"/>
              </w:rPr>
              <w:t>Mpps</w:t>
            </w:r>
            <w:proofErr w:type="spellEnd"/>
          </w:p>
          <w:p w:rsidR="00CB081B" w:rsidRPr="00E3682A" w:rsidRDefault="00CB081B" w:rsidP="00DA43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(Υποθέτοντας το ελάχιστο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Ethernet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packet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size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των 64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bytes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ή μεγαλύτερο)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721201" w:rsidRDefault="00CB081B" w:rsidP="00DA43E0">
            <w:pPr>
              <w:jc w:val="center"/>
              <w:rPr>
                <w:color w:val="000000"/>
              </w:rPr>
            </w:pPr>
          </w:p>
        </w:tc>
      </w:tr>
      <w:tr w:rsidR="00CB081B" w:rsidRPr="009F5FBE" w:rsidTr="00CB081B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721201" w:rsidRDefault="00CB081B" w:rsidP="00CB081B">
            <w:pPr>
              <w:pStyle w:val="a3"/>
              <w:numPr>
                <w:ilvl w:val="0"/>
                <w:numId w:val="1"/>
              </w:numPr>
              <w:suppressAutoHyphens/>
              <w:ind w:left="272" w:hanging="215"/>
              <w:jc w:val="both"/>
              <w:rPr>
                <w:b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E3682A" w:rsidRDefault="00CB081B" w:rsidP="00DA43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sz w:val="22"/>
                <w:szCs w:val="22"/>
              </w:rPr>
              <w:t>To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switch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πρέπει να διαθέτει προδιαγραφή (στο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datasheet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του) ή πιστοποίηση είτε για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MTBF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είτε για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MTTF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: 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MTBF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ή </w:t>
            </w:r>
            <w:r w:rsidRPr="00E3682A">
              <w:rPr>
                <w:rFonts w:ascii="Calibri" w:hAnsi="Calibri" w:cs="Calibri"/>
                <w:sz w:val="22"/>
                <w:szCs w:val="22"/>
              </w:rPr>
              <w:t>MTTF</w:t>
            </w:r>
            <w:r w:rsidRPr="00E3682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&gt; 180.000 ώρες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E3682A" w:rsidRDefault="00CB081B" w:rsidP="00DA43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82A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9F5FBE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B" w:rsidRPr="009F5FBE" w:rsidRDefault="00CB081B" w:rsidP="00DA43E0">
            <w:pPr>
              <w:jc w:val="center"/>
              <w:rPr>
                <w:color w:val="000000"/>
                <w:lang w:val="el-GR"/>
              </w:rPr>
            </w:pPr>
          </w:p>
        </w:tc>
      </w:tr>
    </w:tbl>
    <w:p w:rsidR="00CB081B" w:rsidRPr="00294133" w:rsidRDefault="00CB081B" w:rsidP="00CB081B">
      <w:pPr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CB081B" w:rsidRDefault="00942229" w:rsidP="00EB5351">
      <w:pPr>
        <w:widowControl w:val="0"/>
        <w:autoSpaceDE w:val="0"/>
        <w:autoSpaceDN w:val="0"/>
        <w:adjustRightInd w:val="0"/>
        <w:spacing w:before="120"/>
        <w:ind w:left="-426" w:right="-241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  <w:r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>ΣΥΝΟΛΟ ΑΝΤΙΚΕΙΜΕΝΟΥ ΕΡΓΟΥ</w:t>
      </w:r>
    </w:p>
    <w:p w:rsidR="00A914A5" w:rsidRDefault="00A914A5" w:rsidP="00EB5351">
      <w:pPr>
        <w:widowControl w:val="0"/>
        <w:autoSpaceDE w:val="0"/>
        <w:autoSpaceDN w:val="0"/>
        <w:adjustRightInd w:val="0"/>
        <w:spacing w:before="120"/>
        <w:ind w:left="-426" w:right="-241"/>
        <w:jc w:val="center"/>
        <w:rPr>
          <w:rFonts w:ascii="Calibri" w:eastAsia="SimSun" w:hAnsi="Calibri" w:cs="Calibri"/>
          <w:kern w:val="1"/>
          <w:sz w:val="22"/>
          <w:szCs w:val="24"/>
          <w:lang w:val="el-GR"/>
        </w:rPr>
      </w:pPr>
    </w:p>
    <w:tbl>
      <w:tblPr>
        <w:tblW w:w="932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5"/>
        <w:gridCol w:w="1556"/>
        <w:gridCol w:w="1368"/>
        <w:gridCol w:w="1694"/>
      </w:tblGrid>
      <w:tr w:rsidR="00942229" w:rsidRPr="00B21307" w:rsidTr="00942229">
        <w:tc>
          <w:tcPr>
            <w:tcW w:w="4787" w:type="dxa"/>
            <w:shd w:val="clear" w:color="auto" w:fill="D9D9D9" w:themeFill="background1" w:themeFillShade="D9"/>
          </w:tcPr>
          <w:p w:rsidR="00942229" w:rsidRPr="00942229" w:rsidRDefault="00942229" w:rsidP="009422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942229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  <w:t>ΕΙΔΟΣ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2229" w:rsidRPr="00942229" w:rsidRDefault="00942229" w:rsidP="009422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942229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  <w:t>ΠΟΣΟΤΗΤΑ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42229" w:rsidRPr="00942229" w:rsidRDefault="00942229" w:rsidP="009422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942229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2229" w:rsidRPr="00942229" w:rsidRDefault="00942229" w:rsidP="009422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942229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eastAsia="en-US"/>
              </w:rPr>
              <w:t xml:space="preserve">ΑΠΑΝΤΗΣΗ  </w:t>
            </w:r>
          </w:p>
        </w:tc>
      </w:tr>
      <w:tr w:rsidR="00942229" w:rsidRPr="00B21307" w:rsidTr="00942229">
        <w:tc>
          <w:tcPr>
            <w:tcW w:w="4787" w:type="dxa"/>
          </w:tcPr>
          <w:p w:rsidR="00942229" w:rsidRPr="00B21307" w:rsidRDefault="00942229" w:rsidP="00DA43E0">
            <w:pPr>
              <w:spacing w:line="237" w:lineRule="auto"/>
              <w:rPr>
                <w:rFonts w:ascii="Calibri" w:eastAsia="SimSun" w:hAnsi="Calibri" w:cs="Calibri"/>
                <w:kern w:val="2"/>
                <w:sz w:val="22"/>
                <w:szCs w:val="22"/>
              </w:rPr>
            </w:pP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48 – port switch</w:t>
            </w:r>
          </w:p>
        </w:tc>
        <w:tc>
          <w:tcPr>
            <w:tcW w:w="1559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  <w:r w:rsidRPr="00B21307"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  <w:t>1</w:t>
            </w:r>
          </w:p>
        </w:tc>
        <w:tc>
          <w:tcPr>
            <w:tcW w:w="1276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</w:tr>
      <w:tr w:rsidR="00942229" w:rsidRPr="00B21307" w:rsidTr="00942229">
        <w:tc>
          <w:tcPr>
            <w:tcW w:w="4787" w:type="dxa"/>
          </w:tcPr>
          <w:p w:rsidR="00942229" w:rsidRPr="00B21307" w:rsidRDefault="00942229" w:rsidP="00DA43E0">
            <w:pPr>
              <w:spacing w:line="237" w:lineRule="auto"/>
              <w:rPr>
                <w:rFonts w:ascii="Calibri" w:eastAsia="SimSun" w:hAnsi="Calibri" w:cs="Calibri"/>
                <w:kern w:val="2"/>
                <w:sz w:val="22"/>
                <w:szCs w:val="22"/>
              </w:rPr>
            </w:pP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Πλήρες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stacking cable</w:t>
            </w:r>
          </w:p>
        </w:tc>
        <w:tc>
          <w:tcPr>
            <w:tcW w:w="1559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  <w:r w:rsidRPr="00B21307"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  <w:t>1</w:t>
            </w:r>
          </w:p>
        </w:tc>
        <w:tc>
          <w:tcPr>
            <w:tcW w:w="1276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</w:tr>
      <w:tr w:rsidR="00942229" w:rsidRPr="00B21307" w:rsidTr="00942229">
        <w:tc>
          <w:tcPr>
            <w:tcW w:w="4787" w:type="dxa"/>
          </w:tcPr>
          <w:p w:rsidR="00942229" w:rsidRPr="00B21307" w:rsidRDefault="00942229" w:rsidP="00DA43E0">
            <w:pPr>
              <w:spacing w:line="237" w:lineRule="auto"/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</w:pP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Εγκατάσταση και παραμετροποίηση του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switch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 (είτε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standalone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 είτε σε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stack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) </w:t>
            </w:r>
          </w:p>
        </w:tc>
        <w:tc>
          <w:tcPr>
            <w:tcW w:w="1559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  <w:r w:rsidRPr="00B21307"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  <w:t>1</w:t>
            </w:r>
          </w:p>
        </w:tc>
        <w:tc>
          <w:tcPr>
            <w:tcW w:w="1276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</w:tr>
      <w:tr w:rsidR="00942229" w:rsidRPr="00B21307" w:rsidTr="00942229">
        <w:tc>
          <w:tcPr>
            <w:tcW w:w="4787" w:type="dxa"/>
          </w:tcPr>
          <w:p w:rsidR="00942229" w:rsidRPr="00B21307" w:rsidRDefault="00942229" w:rsidP="00DA43E0">
            <w:pPr>
              <w:spacing w:line="237" w:lineRule="auto"/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</w:pP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Καλώδια χρηστών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UTP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CAT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>5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E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 ή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CAT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>6 μήκους ≥5 μέτρων.</w:t>
            </w:r>
          </w:p>
        </w:tc>
        <w:tc>
          <w:tcPr>
            <w:tcW w:w="1559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  <w:r w:rsidRPr="00B21307"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  <w:t>20</w:t>
            </w:r>
          </w:p>
        </w:tc>
        <w:tc>
          <w:tcPr>
            <w:tcW w:w="1276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</w:tr>
      <w:tr w:rsidR="00942229" w:rsidRPr="00B21307" w:rsidTr="00942229">
        <w:tc>
          <w:tcPr>
            <w:tcW w:w="4787" w:type="dxa"/>
          </w:tcPr>
          <w:p w:rsidR="00942229" w:rsidRPr="00B21307" w:rsidRDefault="00942229" w:rsidP="00DA43E0">
            <w:pPr>
              <w:spacing w:line="237" w:lineRule="auto"/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</w:pP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Καλώδια σύνδεσης </w:t>
            </w:r>
          </w:p>
          <w:p w:rsidR="00942229" w:rsidRPr="00B21307" w:rsidRDefault="00942229" w:rsidP="00DA43E0">
            <w:pPr>
              <w:spacing w:line="237" w:lineRule="auto"/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</w:pP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>(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patch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cables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)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UTP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CAT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>5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E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 xml:space="preserve"> ή 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</w:rPr>
              <w:t>CAT</w:t>
            </w: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>6 μήκους ≥2 μέτρων.</w:t>
            </w:r>
          </w:p>
        </w:tc>
        <w:tc>
          <w:tcPr>
            <w:tcW w:w="1559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  <w:r w:rsidRPr="00B21307"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  <w:t>40</w:t>
            </w:r>
          </w:p>
        </w:tc>
        <w:tc>
          <w:tcPr>
            <w:tcW w:w="1276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</w:tr>
      <w:tr w:rsidR="00942229" w:rsidRPr="00B21307" w:rsidTr="00942229">
        <w:tc>
          <w:tcPr>
            <w:tcW w:w="4787" w:type="dxa"/>
          </w:tcPr>
          <w:p w:rsidR="00942229" w:rsidRPr="00B21307" w:rsidRDefault="00942229" w:rsidP="00DA43E0">
            <w:pPr>
              <w:spacing w:line="237" w:lineRule="auto"/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</w:pPr>
            <w:r w:rsidRPr="00B21307">
              <w:rPr>
                <w:rFonts w:ascii="Calibri" w:eastAsia="SimSun" w:hAnsi="Calibri" w:cs="Calibri"/>
                <w:kern w:val="2"/>
                <w:sz w:val="22"/>
                <w:szCs w:val="22"/>
                <w:lang w:val="el-GR"/>
              </w:rPr>
              <w:t>2-ετής δωρεάν εγγύηση με ανταπόκριση μιας εργάσιμης ημέρας σε περίπτωση βλάβης.</w:t>
            </w:r>
          </w:p>
        </w:tc>
        <w:tc>
          <w:tcPr>
            <w:tcW w:w="1559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  <w:r w:rsidRPr="00B21307"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  <w:t>1</w:t>
            </w:r>
          </w:p>
        </w:tc>
        <w:tc>
          <w:tcPr>
            <w:tcW w:w="1276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942229" w:rsidRPr="00B21307" w:rsidRDefault="00942229" w:rsidP="00DA43E0">
            <w:pPr>
              <w:widowControl w:val="0"/>
              <w:autoSpaceDE w:val="0"/>
              <w:autoSpaceDN w:val="0"/>
              <w:adjustRightInd w:val="0"/>
              <w:spacing w:before="120"/>
              <w:ind w:right="-241"/>
              <w:jc w:val="center"/>
              <w:rPr>
                <w:rFonts w:ascii="Calibri" w:eastAsia="SimSun" w:hAnsi="Calibri" w:cs="Calibri"/>
                <w:kern w:val="1"/>
                <w:sz w:val="22"/>
                <w:szCs w:val="24"/>
                <w:lang w:val="el-GR"/>
              </w:rPr>
            </w:pPr>
          </w:p>
        </w:tc>
      </w:tr>
    </w:tbl>
    <w:p w:rsidR="00CB081B" w:rsidRDefault="00CB081B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Default="00A914A5" w:rsidP="00CB081B">
      <w:pPr>
        <w:spacing w:line="360" w:lineRule="auto"/>
        <w:rPr>
          <w:b/>
          <w:szCs w:val="22"/>
          <w:lang w:val="el-GR"/>
        </w:rPr>
      </w:pPr>
    </w:p>
    <w:p w:rsidR="00A914A5" w:rsidRPr="00893BB3" w:rsidRDefault="00A914A5" w:rsidP="00A914A5">
      <w:pPr>
        <w:spacing w:line="360" w:lineRule="auto"/>
        <w:ind w:left="-567"/>
        <w:rPr>
          <w:rFonts w:ascii="Calibri" w:hAnsi="Calibri" w:cs="Calibri"/>
          <w:b/>
          <w:sz w:val="24"/>
          <w:szCs w:val="24"/>
          <w:lang w:val="el-GR"/>
        </w:rPr>
      </w:pPr>
      <w:r w:rsidRPr="009F0DAA">
        <w:rPr>
          <w:rFonts w:ascii="Calibri" w:hAnsi="Calibri" w:cs="Calibri"/>
          <w:b/>
          <w:sz w:val="24"/>
          <w:szCs w:val="24"/>
          <w:lang w:val="el-GR"/>
        </w:rPr>
        <w:t xml:space="preserve">2.2 Προμήθεια επιτραπέζιου </w:t>
      </w:r>
      <w:r w:rsidRPr="009F0DAA">
        <w:rPr>
          <w:rFonts w:ascii="Calibri" w:hAnsi="Calibri" w:cs="Calibri"/>
          <w:b/>
          <w:sz w:val="24"/>
          <w:szCs w:val="24"/>
        </w:rPr>
        <w:t>switch</w:t>
      </w:r>
    </w:p>
    <w:p w:rsidR="00A914A5" w:rsidRPr="00E6680B" w:rsidRDefault="00A914A5" w:rsidP="00A914A5">
      <w:pPr>
        <w:pStyle w:val="normalwithoutspacing"/>
        <w:jc w:val="center"/>
        <w:rPr>
          <w:rFonts w:eastAsia="SimSun"/>
          <w:b/>
          <w:iCs/>
          <w:szCs w:val="22"/>
        </w:rPr>
      </w:pPr>
      <w:r>
        <w:rPr>
          <w:rFonts w:eastAsia="SimSun"/>
          <w:b/>
          <w:iCs/>
          <w:szCs w:val="22"/>
        </w:rPr>
        <w:t>ΠΙΝΑΚΑΣ</w:t>
      </w:r>
      <w:r w:rsidRPr="00E6680B">
        <w:rPr>
          <w:rFonts w:eastAsia="SimSun"/>
          <w:b/>
          <w:iCs/>
          <w:szCs w:val="22"/>
        </w:rPr>
        <w:t xml:space="preserve"> ΣΥΜΜΟΡΦΩΣΗΣ </w:t>
      </w:r>
    </w:p>
    <w:p w:rsidR="00A914A5" w:rsidRPr="00D14BB3" w:rsidRDefault="00A914A5" w:rsidP="00A914A5">
      <w:pPr>
        <w:spacing w:line="239" w:lineRule="auto"/>
        <w:jc w:val="center"/>
        <w:rPr>
          <w:rFonts w:ascii="Calibri" w:eastAsia="SimSun" w:hAnsi="Calibri" w:cs="Calibri"/>
          <w:kern w:val="1"/>
          <w:sz w:val="22"/>
          <w:szCs w:val="24"/>
          <w:lang w:val="el-GR"/>
        </w:rPr>
      </w:pPr>
      <w:r>
        <w:rPr>
          <w:rFonts w:ascii="Calibri" w:eastAsia="SimSun" w:hAnsi="Calibri" w:cs="Calibri"/>
          <w:kern w:val="1"/>
          <w:sz w:val="22"/>
          <w:szCs w:val="24"/>
          <w:lang w:val="el-GR"/>
        </w:rPr>
        <w:t>Τ</w:t>
      </w:r>
      <w:r w:rsidRPr="003B5944">
        <w:rPr>
          <w:rFonts w:ascii="Calibri" w:eastAsia="SimSun" w:hAnsi="Calibri" w:cs="Calibri"/>
          <w:kern w:val="1"/>
          <w:sz w:val="22"/>
          <w:szCs w:val="24"/>
          <w:lang w:val="el-GR"/>
        </w:rPr>
        <w:t xml:space="preserve">εχνικές </w:t>
      </w:r>
      <w:r>
        <w:rPr>
          <w:rFonts w:ascii="Calibri" w:eastAsia="SimSun" w:hAnsi="Calibri" w:cs="Calibri"/>
          <w:kern w:val="1"/>
          <w:sz w:val="22"/>
          <w:szCs w:val="24"/>
          <w:lang w:val="el-GR"/>
        </w:rPr>
        <w:t xml:space="preserve">απαιτήσεις </w:t>
      </w:r>
      <w:r w:rsidRPr="003B5944">
        <w:rPr>
          <w:rFonts w:ascii="Calibri" w:eastAsia="SimSun" w:hAnsi="Calibri" w:cs="Calibri"/>
          <w:kern w:val="1"/>
          <w:sz w:val="22"/>
          <w:szCs w:val="24"/>
          <w:lang w:val="el-GR"/>
        </w:rPr>
        <w:t xml:space="preserve">για </w:t>
      </w:r>
      <w:r>
        <w:rPr>
          <w:rFonts w:ascii="Calibri" w:eastAsia="SimSun" w:hAnsi="Calibri" w:cs="Calibri"/>
          <w:kern w:val="1"/>
          <w:sz w:val="22"/>
          <w:szCs w:val="24"/>
          <w:lang w:val="el-GR"/>
        </w:rPr>
        <w:t xml:space="preserve">επιτραπέζιο </w:t>
      </w:r>
      <w:r>
        <w:rPr>
          <w:rFonts w:ascii="Calibri" w:eastAsia="SimSun" w:hAnsi="Calibri" w:cs="Calibri"/>
          <w:kern w:val="1"/>
          <w:sz w:val="22"/>
          <w:szCs w:val="24"/>
        </w:rPr>
        <w:t>switch</w:t>
      </w:r>
    </w:p>
    <w:p w:rsidR="00A914A5" w:rsidRPr="00C63BB8" w:rsidRDefault="00A914A5" w:rsidP="00A914A5">
      <w:pPr>
        <w:spacing w:line="239" w:lineRule="auto"/>
        <w:rPr>
          <w:rFonts w:eastAsia="Tahoma" w:cs="Tahoma"/>
          <w:color w:val="000000"/>
          <w:lang w:val="el-GR"/>
        </w:rPr>
      </w:pPr>
      <w:r w:rsidRPr="003B7068">
        <w:rPr>
          <w:rFonts w:eastAsia="Tahoma" w:cs="Tahoma"/>
          <w:color w:val="000000"/>
          <w:lang w:val="el-GR"/>
        </w:rPr>
        <w:t xml:space="preserve"> </w:t>
      </w:r>
      <w:r w:rsidRPr="00554DF4">
        <w:rPr>
          <w:b/>
          <w:sz w:val="24"/>
          <w:lang w:val="el-GR"/>
        </w:rPr>
        <w:t xml:space="preserve">          </w:t>
      </w:r>
    </w:p>
    <w:tbl>
      <w:tblPr>
        <w:tblW w:w="9538" w:type="dxa"/>
        <w:jc w:val="center"/>
        <w:tblInd w:w="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4"/>
        <w:gridCol w:w="3968"/>
        <w:gridCol w:w="1276"/>
        <w:gridCol w:w="1418"/>
        <w:gridCol w:w="1692"/>
      </w:tblGrid>
      <w:tr w:rsidR="00A914A5" w:rsidRPr="00B355E6" w:rsidTr="00A914A5">
        <w:trPr>
          <w:trHeight w:val="455"/>
          <w:tblHeader/>
          <w:jc w:val="center"/>
        </w:trPr>
        <w:tc>
          <w:tcPr>
            <w:tcW w:w="1184" w:type="dxa"/>
            <w:shd w:val="clear" w:color="auto" w:fill="BFBFBF"/>
            <w:vAlign w:val="center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A/A</w:t>
            </w:r>
          </w:p>
        </w:tc>
        <w:tc>
          <w:tcPr>
            <w:tcW w:w="3968" w:type="dxa"/>
            <w:shd w:val="clear" w:color="auto" w:fill="BFBFBF"/>
            <w:vAlign w:val="center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ΧΑΡΑΚΤHΡΙΣΤΙΚΑ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ΑΠΑΙΤΗΣΗ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A914A5" w:rsidRPr="00A914A5" w:rsidRDefault="00A914A5" w:rsidP="00A914A5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ΑΠΑΝΤΗΣΗ</w:t>
            </w:r>
          </w:p>
        </w:tc>
        <w:tc>
          <w:tcPr>
            <w:tcW w:w="1692" w:type="dxa"/>
            <w:shd w:val="clear" w:color="auto" w:fill="BFBFBF"/>
            <w:vAlign w:val="center"/>
          </w:tcPr>
          <w:p w:rsidR="00A914A5" w:rsidRPr="00A914A5" w:rsidRDefault="00A914A5" w:rsidP="00A914A5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ΠΑΡΑΠΟΜΠΗ</w:t>
            </w:r>
          </w:p>
        </w:tc>
      </w:tr>
      <w:tr w:rsidR="00A914A5" w:rsidRPr="002F0F70" w:rsidTr="00A914A5">
        <w:trPr>
          <w:jc w:val="center"/>
        </w:trPr>
        <w:tc>
          <w:tcPr>
            <w:tcW w:w="1184" w:type="dxa"/>
          </w:tcPr>
          <w:p w:rsidR="00A914A5" w:rsidRPr="00640E73" w:rsidRDefault="00A914A5" w:rsidP="00A914A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αναφερθεί ο κατασκευαστής και το μοντέλο συσκευής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2F0F70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4A5" w:rsidRPr="00B355E6" w:rsidTr="00A914A5">
        <w:trPr>
          <w:jc w:val="center"/>
        </w:trPr>
        <w:tc>
          <w:tcPr>
            <w:tcW w:w="1184" w:type="dxa"/>
          </w:tcPr>
          <w:p w:rsidR="00A914A5" w:rsidRPr="00640E73" w:rsidRDefault="00A914A5" w:rsidP="00A914A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Pr="00FC6C0E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Πλήθος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ports </w:t>
            </w:r>
            <w:r w:rsidRPr="00AF71F3">
              <w:rPr>
                <w:rFonts w:ascii="Calibri" w:hAnsi="Calibri" w:cs="Calibri"/>
                <w:sz w:val="22"/>
                <w:szCs w:val="22"/>
                <w:lang w:val="el-GR"/>
              </w:rPr>
              <w:t>≥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4A5" w:rsidRPr="00B355E6" w:rsidTr="00A914A5">
        <w:trPr>
          <w:jc w:val="center"/>
        </w:trPr>
        <w:tc>
          <w:tcPr>
            <w:tcW w:w="1184" w:type="dxa"/>
          </w:tcPr>
          <w:p w:rsidR="00A914A5" w:rsidRPr="00B355E6" w:rsidRDefault="00A914A5" w:rsidP="00A914A5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Pr="00FC6C0E" w:rsidRDefault="00A914A5" w:rsidP="00DA43E0">
            <w:pPr>
              <w:pStyle w:val="Default"/>
              <w:tabs>
                <w:tab w:val="left" w:pos="4274"/>
              </w:tabs>
              <w:spacing w:before="120" w:after="120"/>
              <w:ind w:left="142" w:right="3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Ports </w:t>
            </w:r>
            <w:r w:rsidRPr="00FC6C0E">
              <w:rPr>
                <w:rFonts w:ascii="Calibri" w:hAnsi="Calibri" w:cs="Calibri"/>
                <w:sz w:val="22"/>
                <w:szCs w:val="22"/>
                <w:lang w:val="en-US"/>
              </w:rPr>
              <w:t>10/100/1000Mbps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FC6C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auto-sensing </w:t>
            </w:r>
            <w:proofErr w:type="spellStart"/>
            <w:r w:rsidRPr="00FC6C0E">
              <w:rPr>
                <w:rFonts w:ascii="Calibri" w:hAnsi="Calibri" w:cs="Calibri"/>
                <w:sz w:val="22"/>
                <w:szCs w:val="22"/>
                <w:lang w:val="en-US"/>
              </w:rPr>
              <w:t>ταχύτητας</w:t>
            </w:r>
            <w:proofErr w:type="spellEnd"/>
            <w:r w:rsidRPr="00FC6C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C0E">
              <w:rPr>
                <w:rFonts w:ascii="Calibri" w:hAnsi="Calibri" w:cs="Calibri"/>
                <w:sz w:val="22"/>
                <w:szCs w:val="22"/>
                <w:lang w:val="en-US"/>
              </w:rPr>
              <w:t>δικτύου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FC6C0E">
              <w:rPr>
                <w:rFonts w:ascii="Calibri" w:hAnsi="Calibri" w:cs="Calibri"/>
                <w:sz w:val="22"/>
                <w:szCs w:val="22"/>
                <w:lang w:val="en-US"/>
              </w:rPr>
              <w:t>auto MDI/MDI-X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B355E6" w:rsidRDefault="00A914A5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A914A5" w:rsidRPr="00B355E6" w:rsidRDefault="00A914A5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B355E6" w:rsidRDefault="00A914A5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4A5" w:rsidRPr="00B355E6" w:rsidTr="00A914A5">
        <w:trPr>
          <w:jc w:val="center"/>
        </w:trPr>
        <w:tc>
          <w:tcPr>
            <w:tcW w:w="1184" w:type="dxa"/>
          </w:tcPr>
          <w:p w:rsidR="00A914A5" w:rsidRPr="00B355E6" w:rsidRDefault="00A914A5" w:rsidP="00A914A5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Pr="00FC6C0E" w:rsidRDefault="00A914A5" w:rsidP="00DA43E0">
            <w:pPr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Managed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4A5" w:rsidRPr="002F5DE8" w:rsidTr="00A914A5">
        <w:trPr>
          <w:jc w:val="center"/>
        </w:trPr>
        <w:tc>
          <w:tcPr>
            <w:tcW w:w="1184" w:type="dxa"/>
          </w:tcPr>
          <w:p w:rsidR="00A914A5" w:rsidRPr="00640E73" w:rsidRDefault="00A914A5" w:rsidP="00A914A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Pr="00FC6C0E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Layer: L2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2F5DE8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4A5" w:rsidRPr="002F5DE8" w:rsidTr="00A914A5">
        <w:trPr>
          <w:jc w:val="center"/>
        </w:trPr>
        <w:tc>
          <w:tcPr>
            <w:tcW w:w="1184" w:type="dxa"/>
          </w:tcPr>
          <w:p w:rsidR="00A914A5" w:rsidRPr="002F5DE8" w:rsidRDefault="00A914A5" w:rsidP="00A914A5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Pr="00FC6C0E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Ταχύτητα μεταγωγής: </w:t>
            </w:r>
            <w:r w:rsidRPr="00AF71F3">
              <w:rPr>
                <w:rFonts w:ascii="Calibri" w:hAnsi="Calibri" w:cs="Calibri"/>
                <w:sz w:val="22"/>
                <w:szCs w:val="22"/>
                <w:lang w:val="el-GR"/>
              </w:rPr>
              <w:t>≥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16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2F5DE8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4A5" w:rsidRPr="002F5DE8" w:rsidTr="00A914A5">
        <w:trPr>
          <w:jc w:val="center"/>
        </w:trPr>
        <w:tc>
          <w:tcPr>
            <w:tcW w:w="1184" w:type="dxa"/>
          </w:tcPr>
          <w:p w:rsidR="00A914A5" w:rsidRPr="002F5DE8" w:rsidRDefault="00A914A5" w:rsidP="00A914A5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Pr="00B355E6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Εγγύηση καλής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λειτουργίας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≥</w:t>
            </w:r>
            <w:r w:rsidRPr="006257A9">
              <w:rPr>
                <w:rFonts w:ascii="Calibri" w:hAnsi="Calibri" w:cs="Calibri"/>
                <w:sz w:val="22"/>
                <w:szCs w:val="22"/>
                <w:lang w:val="el-GR"/>
              </w:rPr>
              <w:t>2 έτη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2F5DE8" w:rsidRDefault="00A914A5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A914A5" w:rsidRPr="00B355E6" w:rsidRDefault="00A914A5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B355E6" w:rsidRDefault="00A914A5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4A5" w:rsidRPr="00B355E6" w:rsidTr="00A914A5">
        <w:trPr>
          <w:jc w:val="center"/>
        </w:trPr>
        <w:tc>
          <w:tcPr>
            <w:tcW w:w="1184" w:type="dxa"/>
          </w:tcPr>
          <w:p w:rsidR="00A914A5" w:rsidRPr="00640E73" w:rsidRDefault="00A914A5" w:rsidP="00A914A5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A914A5" w:rsidRPr="00B355E6" w:rsidRDefault="00A914A5" w:rsidP="00DA43E0">
            <w:pPr>
              <w:pStyle w:val="Default"/>
              <w:spacing w:before="120" w:after="120"/>
              <w:ind w:left="125" w:right="9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355E6">
              <w:rPr>
                <w:rFonts w:ascii="Calibri" w:hAnsi="Calibri" w:cs="Calibri"/>
                <w:color w:val="auto"/>
                <w:sz w:val="22"/>
                <w:szCs w:val="22"/>
              </w:rPr>
              <w:t>Χρόνος παράδοσης (ημερολογιακές ημέρες)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4A5" w:rsidRPr="009F7C2F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7C2F">
              <w:rPr>
                <w:rFonts w:ascii="Calibri" w:hAnsi="Calibri" w:cs="Calibri"/>
                <w:sz w:val="22"/>
                <w:szCs w:val="22"/>
              </w:rPr>
              <w:t>≤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418" w:type="dxa"/>
          </w:tcPr>
          <w:p w:rsidR="00A914A5" w:rsidRPr="009F7C2F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2" w:type="dxa"/>
          </w:tcPr>
          <w:p w:rsidR="00A914A5" w:rsidRPr="009F7C2F" w:rsidRDefault="00A914A5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14A5" w:rsidRPr="000D4D30" w:rsidRDefault="00A914A5" w:rsidP="00A914A5">
      <w:pPr>
        <w:widowControl w:val="0"/>
        <w:autoSpaceDE w:val="0"/>
        <w:autoSpaceDN w:val="0"/>
        <w:adjustRightInd w:val="0"/>
        <w:ind w:right="103"/>
        <w:rPr>
          <w:sz w:val="24"/>
          <w:lang w:val="el-GR"/>
        </w:rPr>
      </w:pPr>
    </w:p>
    <w:p w:rsidR="00CB081B" w:rsidRPr="00CB081B" w:rsidRDefault="00CB081B">
      <w:pPr>
        <w:rPr>
          <w:lang w:val="el-GR"/>
        </w:rPr>
      </w:pPr>
    </w:p>
    <w:sectPr w:rsidR="00CB081B" w:rsidRPr="00CB081B" w:rsidSect="00B97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CD5"/>
    <w:multiLevelType w:val="hybridMultilevel"/>
    <w:tmpl w:val="DD4688D2"/>
    <w:lvl w:ilvl="0" w:tplc="1946EB92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CD10E7"/>
    <w:multiLevelType w:val="hybridMultilevel"/>
    <w:tmpl w:val="C146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081B"/>
    <w:rsid w:val="007B7B81"/>
    <w:rsid w:val="008E5EC0"/>
    <w:rsid w:val="00942229"/>
    <w:rsid w:val="00A914A5"/>
    <w:rsid w:val="00B97634"/>
    <w:rsid w:val="00CB081B"/>
    <w:rsid w:val="00EB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1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uiPriority w:val="99"/>
    <w:rsid w:val="00CB081B"/>
    <w:pPr>
      <w:suppressAutoHyphens/>
      <w:spacing w:after="60"/>
      <w:jc w:val="both"/>
    </w:pPr>
    <w:rPr>
      <w:rFonts w:ascii="Calibri" w:hAnsi="Calibri" w:cs="Calibri"/>
      <w:sz w:val="22"/>
      <w:szCs w:val="24"/>
      <w:lang w:val="el-GR" w:eastAsia="zh-CN"/>
    </w:rPr>
  </w:style>
  <w:style w:type="paragraph" w:styleId="a3">
    <w:name w:val="List Paragraph"/>
    <w:aliases w:val="Γράφημα,List Paragraph1,Bullet2,Bullet21,Bullet22,Bullet23,Bullet211,Bullet24,Bullet25,Bullet26,Bullet27,bl11,Bullet212,Bullet28,bl12,Bullet213,Bullet29,bl13,Bullet214,Bullet210,Bullet215,Bullet216,bl14,Bullet221,List1"/>
    <w:basedOn w:val="a"/>
    <w:link w:val="Char"/>
    <w:uiPriority w:val="34"/>
    <w:qFormat/>
    <w:rsid w:val="00CB081B"/>
    <w:pPr>
      <w:ind w:left="720"/>
      <w:contextualSpacing/>
    </w:pPr>
    <w:rPr>
      <w:lang/>
    </w:rPr>
  </w:style>
  <w:style w:type="character" w:customStyle="1" w:styleId="Char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3"/>
    <w:uiPriority w:val="34"/>
    <w:locked/>
    <w:rsid w:val="00CB081B"/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efault">
    <w:name w:val="Default"/>
    <w:rsid w:val="00A914A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8</cp:revision>
  <dcterms:created xsi:type="dcterms:W3CDTF">2019-06-06T10:28:00Z</dcterms:created>
  <dcterms:modified xsi:type="dcterms:W3CDTF">2019-06-06T10:36:00Z</dcterms:modified>
</cp:coreProperties>
</file>