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5C" w:rsidRPr="00EA7DE4" w:rsidRDefault="00CB165C" w:rsidP="00CB165C">
      <w:pPr>
        <w:spacing w:before="120" w:after="120" w:line="240" w:lineRule="auto"/>
        <w:jc w:val="center"/>
        <w:outlineLvl w:val="1"/>
        <w:rPr>
          <w:rFonts w:asciiTheme="minorHAnsi" w:eastAsia="Times New Roman" w:hAnsiTheme="minorHAnsi" w:cstheme="minorHAnsi"/>
          <w:b/>
          <w:bCs/>
          <w:color w:val="333333"/>
          <w:spacing w:val="-12"/>
          <w:sz w:val="28"/>
          <w:szCs w:val="28"/>
          <w:lang w:eastAsia="el-GR"/>
        </w:rPr>
      </w:pPr>
      <w:bookmarkStart w:id="0" w:name="_GoBack"/>
      <w:bookmarkEnd w:id="0"/>
      <w:r w:rsidRPr="00EA7DE4">
        <w:rPr>
          <w:rFonts w:asciiTheme="minorHAnsi" w:eastAsia="Times New Roman" w:hAnsiTheme="minorHAnsi" w:cstheme="minorHAnsi"/>
          <w:b/>
          <w:bCs/>
          <w:color w:val="333333"/>
          <w:spacing w:val="-12"/>
          <w:sz w:val="28"/>
          <w:szCs w:val="28"/>
          <w:lang w:eastAsia="el-GR"/>
        </w:rPr>
        <w:t>Αθροιστικά από </w:t>
      </w:r>
      <w:r w:rsidR="00933840" w:rsidRPr="00EA7DE4">
        <w:rPr>
          <w:rFonts w:asciiTheme="minorHAnsi" w:eastAsia="Times New Roman" w:hAnsiTheme="minorHAnsi" w:cstheme="minorHAnsi"/>
          <w:b/>
          <w:bCs/>
          <w:color w:val="333333"/>
          <w:spacing w:val="-12"/>
          <w:sz w:val="28"/>
          <w:szCs w:val="28"/>
          <w:lang w:eastAsia="el-GR"/>
        </w:rPr>
        <w:t>1</w:t>
      </w:r>
      <w:r w:rsidRPr="00EA7DE4">
        <w:rPr>
          <w:rFonts w:asciiTheme="minorHAnsi" w:eastAsia="Times New Roman" w:hAnsiTheme="minorHAnsi" w:cstheme="minorHAnsi"/>
          <w:b/>
          <w:bCs/>
          <w:color w:val="333333"/>
          <w:spacing w:val="-12"/>
          <w:sz w:val="28"/>
          <w:szCs w:val="28"/>
          <w:lang w:eastAsia="el-GR"/>
        </w:rPr>
        <w:t>/</w:t>
      </w:r>
      <w:r w:rsidR="00933840" w:rsidRPr="00EA7DE4">
        <w:rPr>
          <w:rFonts w:asciiTheme="minorHAnsi" w:eastAsia="Times New Roman" w:hAnsiTheme="minorHAnsi" w:cstheme="minorHAnsi"/>
          <w:b/>
          <w:bCs/>
          <w:color w:val="333333"/>
          <w:spacing w:val="-12"/>
          <w:sz w:val="28"/>
          <w:szCs w:val="28"/>
          <w:lang w:eastAsia="el-GR"/>
        </w:rPr>
        <w:t>6</w:t>
      </w:r>
      <w:r w:rsidRPr="00EA7DE4">
        <w:rPr>
          <w:rFonts w:asciiTheme="minorHAnsi" w:eastAsia="Times New Roman" w:hAnsiTheme="minorHAnsi" w:cstheme="minorHAnsi"/>
          <w:b/>
          <w:bCs/>
          <w:color w:val="333333"/>
          <w:spacing w:val="-12"/>
          <w:sz w:val="28"/>
          <w:szCs w:val="28"/>
          <w:lang w:eastAsia="el-GR"/>
        </w:rPr>
        <w:t>/2021 μέχρι </w:t>
      </w:r>
      <w:r w:rsidR="00E95CA0">
        <w:rPr>
          <w:rFonts w:asciiTheme="minorHAnsi" w:eastAsia="Times New Roman" w:hAnsiTheme="minorHAnsi" w:cstheme="minorHAnsi"/>
          <w:b/>
          <w:bCs/>
          <w:color w:val="333333"/>
          <w:spacing w:val="-12"/>
          <w:sz w:val="28"/>
          <w:szCs w:val="28"/>
          <w:lang w:eastAsia="el-GR"/>
        </w:rPr>
        <w:t>28</w:t>
      </w:r>
      <w:r w:rsidRPr="00EA7DE4">
        <w:rPr>
          <w:rFonts w:asciiTheme="minorHAnsi" w:eastAsia="Times New Roman" w:hAnsiTheme="minorHAnsi" w:cstheme="minorHAnsi"/>
          <w:b/>
          <w:bCs/>
          <w:color w:val="333333"/>
          <w:spacing w:val="-12"/>
          <w:sz w:val="28"/>
          <w:szCs w:val="28"/>
          <w:lang w:eastAsia="el-GR"/>
        </w:rPr>
        <w:t>/</w:t>
      </w:r>
      <w:r w:rsidR="000F3521" w:rsidRPr="00EA7DE4">
        <w:rPr>
          <w:rFonts w:asciiTheme="minorHAnsi" w:eastAsia="Times New Roman" w:hAnsiTheme="minorHAnsi" w:cstheme="minorHAnsi"/>
          <w:b/>
          <w:bCs/>
          <w:color w:val="333333"/>
          <w:spacing w:val="-12"/>
          <w:sz w:val="28"/>
          <w:szCs w:val="28"/>
          <w:lang w:eastAsia="el-GR"/>
        </w:rPr>
        <w:t>2</w:t>
      </w:r>
      <w:r w:rsidRPr="00EA7DE4">
        <w:rPr>
          <w:rFonts w:asciiTheme="minorHAnsi" w:eastAsia="Times New Roman" w:hAnsiTheme="minorHAnsi" w:cstheme="minorHAnsi"/>
          <w:b/>
          <w:bCs/>
          <w:color w:val="333333"/>
          <w:spacing w:val="-12"/>
          <w:sz w:val="28"/>
          <w:szCs w:val="28"/>
          <w:lang w:eastAsia="el-GR"/>
        </w:rPr>
        <w:t>/202</w:t>
      </w:r>
      <w:r w:rsidR="00E95CA0">
        <w:rPr>
          <w:rFonts w:asciiTheme="minorHAnsi" w:eastAsia="Times New Roman" w:hAnsiTheme="minorHAnsi" w:cstheme="minorHAnsi"/>
          <w:b/>
          <w:bCs/>
          <w:color w:val="333333"/>
          <w:spacing w:val="-12"/>
          <w:sz w:val="28"/>
          <w:szCs w:val="28"/>
          <w:lang w:eastAsia="el-GR"/>
        </w:rPr>
        <w:t>2</w:t>
      </w:r>
      <w:r w:rsidRPr="00EA7DE4">
        <w:rPr>
          <w:rFonts w:asciiTheme="minorHAnsi" w:eastAsia="Times New Roman" w:hAnsiTheme="minorHAnsi" w:cstheme="minorHAnsi"/>
          <w:b/>
          <w:bCs/>
          <w:color w:val="333333"/>
          <w:spacing w:val="-12"/>
          <w:sz w:val="28"/>
          <w:szCs w:val="28"/>
          <w:lang w:eastAsia="el-GR"/>
        </w:rPr>
        <w:t>:</w:t>
      </w:r>
    </w:p>
    <w:p w:rsidR="0042327F" w:rsidRPr="0031540E" w:rsidRDefault="0042327F" w:rsidP="0042327F">
      <w:pPr>
        <w:tabs>
          <w:tab w:val="left" w:pos="284"/>
        </w:tabs>
        <w:spacing w:after="0" w:line="240" w:lineRule="auto"/>
        <w:jc w:val="both"/>
        <w:rPr>
          <w:rFonts w:cs="Calibri"/>
          <w:sz w:val="24"/>
          <w:szCs w:val="24"/>
        </w:rPr>
      </w:pPr>
    </w:p>
    <w:p w:rsidR="00653E3F" w:rsidRPr="00CD125D" w:rsidRDefault="0031540E" w:rsidP="0042327F">
      <w:pPr>
        <w:tabs>
          <w:tab w:val="left" w:pos="284"/>
        </w:tabs>
        <w:spacing w:after="0" w:line="240" w:lineRule="auto"/>
        <w:jc w:val="both"/>
        <w:rPr>
          <w:rFonts w:cs="Calibri"/>
        </w:rPr>
      </w:pPr>
      <w:r w:rsidRPr="00CD125D">
        <w:rPr>
          <w:rFonts w:cs="Calibri"/>
        </w:rPr>
        <w:t xml:space="preserve">Μέχρι τις </w:t>
      </w:r>
      <w:r w:rsidR="00E95CA0" w:rsidRPr="00CD125D">
        <w:rPr>
          <w:rFonts w:cs="Calibri"/>
        </w:rPr>
        <w:t>28</w:t>
      </w:r>
      <w:r w:rsidRPr="00CD125D">
        <w:rPr>
          <w:rFonts w:cs="Calibri"/>
        </w:rPr>
        <w:t>/</w:t>
      </w:r>
      <w:r w:rsidR="000F3521" w:rsidRPr="00CD125D">
        <w:rPr>
          <w:rFonts w:cs="Calibri"/>
        </w:rPr>
        <w:t>2</w:t>
      </w:r>
      <w:r w:rsidRPr="00CD125D">
        <w:rPr>
          <w:rFonts w:cs="Calibri"/>
        </w:rPr>
        <w:t>/202</w:t>
      </w:r>
      <w:r w:rsidR="00E95CA0" w:rsidRPr="00CD125D">
        <w:rPr>
          <w:rFonts w:cs="Calibri"/>
        </w:rPr>
        <w:t>2</w:t>
      </w:r>
      <w:r w:rsidRPr="00CD125D">
        <w:rPr>
          <w:rFonts w:cs="Calibri"/>
        </w:rPr>
        <w:t>, σ</w:t>
      </w:r>
      <w:r w:rsidR="0042327F" w:rsidRPr="00CD125D">
        <w:rPr>
          <w:rFonts w:cs="Calibri"/>
        </w:rPr>
        <w:t xml:space="preserve">υνολικά, </w:t>
      </w:r>
      <w:r w:rsidR="00E95CA0" w:rsidRPr="00CD125D">
        <w:rPr>
          <w:rFonts w:cs="Calibri"/>
          <w:b/>
        </w:rPr>
        <w:t>47.897</w:t>
      </w:r>
      <w:r w:rsidR="00E95CA0" w:rsidRPr="00CD125D">
        <w:rPr>
          <w:rFonts w:cs="Calibri"/>
        </w:rPr>
        <w:t xml:space="preserve"> </w:t>
      </w:r>
      <w:r w:rsidR="0042327F" w:rsidRPr="00CD125D">
        <w:rPr>
          <w:rFonts w:cs="Calibri"/>
          <w:b/>
        </w:rPr>
        <w:t>οφειλέτες έχουν εισέλθει στην πλατφόρμα</w:t>
      </w:r>
      <w:r w:rsidR="0042327F" w:rsidRPr="00CD125D">
        <w:rPr>
          <w:rFonts w:cs="Calibri"/>
        </w:rPr>
        <w:t xml:space="preserve"> του εξωδικαστικού μηχανισμού ρύθμισης οφειλών και ξεκίνησαν την αίτησή τους για να ρυθμίσουν τις οφειλές τους προς τράπεζες, διαχειριστές δανείων, δημόσιο και φορείς κοινωνικής ασφάλισης. </w:t>
      </w:r>
    </w:p>
    <w:p w:rsidR="00653E3F" w:rsidRPr="00CD125D" w:rsidRDefault="00653E3F" w:rsidP="0042327F">
      <w:pPr>
        <w:tabs>
          <w:tab w:val="left" w:pos="284"/>
        </w:tabs>
        <w:spacing w:after="0" w:line="240" w:lineRule="auto"/>
        <w:jc w:val="both"/>
        <w:rPr>
          <w:rFonts w:cs="Calibri"/>
        </w:rPr>
      </w:pPr>
    </w:p>
    <w:p w:rsidR="0042327F" w:rsidRPr="00CD125D" w:rsidRDefault="00653E3F" w:rsidP="0042327F">
      <w:pPr>
        <w:tabs>
          <w:tab w:val="left" w:pos="284"/>
        </w:tabs>
        <w:spacing w:after="0" w:line="240" w:lineRule="auto"/>
        <w:jc w:val="both"/>
        <w:rPr>
          <w:rFonts w:cs="Calibri"/>
        </w:rPr>
      </w:pPr>
      <w:r w:rsidRPr="00CD125D">
        <w:rPr>
          <w:rFonts w:cs="Calibri"/>
        </w:rPr>
        <w:t xml:space="preserve">Συνολικά </w:t>
      </w:r>
      <w:r w:rsidR="0084456A" w:rsidRPr="0084456A">
        <w:rPr>
          <w:rFonts w:cs="Calibri"/>
          <w:b/>
        </w:rPr>
        <w:t>5.612</w:t>
      </w:r>
      <w:r w:rsidRPr="00CD125D">
        <w:rPr>
          <w:rFonts w:cs="Calibri"/>
        </w:rPr>
        <w:t xml:space="preserve"> ερωτήματα έχουν </w:t>
      </w:r>
      <w:r w:rsidR="00816294" w:rsidRPr="00CD125D">
        <w:rPr>
          <w:rFonts w:cs="Calibri"/>
        </w:rPr>
        <w:t>απαντηθεί</w:t>
      </w:r>
      <w:r w:rsidRPr="00CD125D">
        <w:rPr>
          <w:rFonts w:cs="Calibri"/>
        </w:rPr>
        <w:t xml:space="preserve"> από το </w:t>
      </w:r>
      <w:r w:rsidRPr="00CD125D">
        <w:rPr>
          <w:rFonts w:cs="Calibri"/>
          <w:lang w:val="en-US"/>
        </w:rPr>
        <w:t>helpdesk</w:t>
      </w:r>
      <w:r w:rsidRPr="00CD125D">
        <w:rPr>
          <w:rFonts w:cs="Calibri"/>
        </w:rPr>
        <w:t xml:space="preserve"> της ΕΓΔΙΧ</w:t>
      </w:r>
      <w:r w:rsidR="0084456A">
        <w:rPr>
          <w:rFonts w:cs="Calibri"/>
        </w:rPr>
        <w:t xml:space="preserve"> μέχρι 31.1.2022</w:t>
      </w:r>
      <w:r w:rsidRPr="00CD125D">
        <w:rPr>
          <w:rFonts w:cs="Calibri"/>
        </w:rPr>
        <w:t>.</w:t>
      </w:r>
    </w:p>
    <w:p w:rsidR="0042327F" w:rsidRPr="00CD125D" w:rsidRDefault="0042327F" w:rsidP="0042327F">
      <w:pPr>
        <w:tabs>
          <w:tab w:val="left" w:pos="284"/>
        </w:tabs>
        <w:spacing w:after="0" w:line="240" w:lineRule="auto"/>
        <w:jc w:val="both"/>
        <w:rPr>
          <w:rFonts w:cs="Calibri"/>
        </w:rPr>
      </w:pPr>
    </w:p>
    <w:p w:rsidR="00E95CA0" w:rsidRPr="00CD125D" w:rsidRDefault="00E95CA0" w:rsidP="00E95CA0">
      <w:pPr>
        <w:tabs>
          <w:tab w:val="left" w:pos="284"/>
        </w:tabs>
        <w:spacing w:after="0" w:line="240" w:lineRule="auto"/>
        <w:jc w:val="both"/>
        <w:rPr>
          <w:rFonts w:cs="Calibri"/>
        </w:rPr>
      </w:pPr>
      <w:r w:rsidRPr="00CD125D">
        <w:rPr>
          <w:rFonts w:cs="Calibri"/>
        </w:rPr>
        <w:t xml:space="preserve">Μέχρι τις 28/2/2022, συνολικά </w:t>
      </w:r>
      <w:r w:rsidRPr="00CD125D">
        <w:rPr>
          <w:rFonts w:cs="Calibri"/>
          <w:b/>
        </w:rPr>
        <w:t>2.084</w:t>
      </w:r>
      <w:r w:rsidRPr="00CD125D">
        <w:rPr>
          <w:rFonts w:cs="Calibri"/>
        </w:rPr>
        <w:t xml:space="preserve"> αιτήσεις υποβλήθηκαν οριστικά, εκ των οποίων:</w:t>
      </w:r>
    </w:p>
    <w:p w:rsidR="00E95CA0" w:rsidRPr="00CD125D" w:rsidRDefault="00E95CA0" w:rsidP="00E95CA0">
      <w:pPr>
        <w:tabs>
          <w:tab w:val="left" w:pos="284"/>
        </w:tabs>
        <w:spacing w:after="0" w:line="240" w:lineRule="auto"/>
        <w:jc w:val="both"/>
        <w:rPr>
          <w:rFonts w:cs="Calibri"/>
        </w:rPr>
      </w:pPr>
    </w:p>
    <w:p w:rsidR="00E95CA0" w:rsidRPr="00CD125D" w:rsidRDefault="00E95CA0" w:rsidP="00E95CA0">
      <w:pPr>
        <w:numPr>
          <w:ilvl w:val="0"/>
          <w:numId w:val="2"/>
        </w:numPr>
        <w:tabs>
          <w:tab w:val="clear" w:pos="720"/>
          <w:tab w:val="left" w:pos="284"/>
          <w:tab w:val="num" w:pos="436"/>
        </w:tabs>
        <w:spacing w:after="0" w:line="240" w:lineRule="auto"/>
        <w:ind w:left="0" w:firstLine="0"/>
        <w:jc w:val="both"/>
        <w:rPr>
          <w:rFonts w:cs="Calibri"/>
          <w:color w:val="000000"/>
        </w:rPr>
      </w:pPr>
      <w:r w:rsidRPr="00CD125D">
        <w:rPr>
          <w:rFonts w:cs="Calibri"/>
          <w:color w:val="000000"/>
        </w:rPr>
        <w:t xml:space="preserve">137 αιτήσεις έχουν λάβει επεξεργασία και έχουν ψηφίσει για αυτές θετικά οι τράπεζες και διαχειριστές δανείων, ενώ επίκειται η αποδοχή της σχετικής πρότασης ρύθμισης από τους οφειλέτες και η υπογραφή της σχετικής σύμβασης αναδιάρθρωσης δανείων. </w:t>
      </w:r>
    </w:p>
    <w:p w:rsidR="00E95CA0" w:rsidRPr="00CD125D" w:rsidRDefault="00E95CA0" w:rsidP="00E95CA0">
      <w:pPr>
        <w:numPr>
          <w:ilvl w:val="0"/>
          <w:numId w:val="2"/>
        </w:numPr>
        <w:tabs>
          <w:tab w:val="clear" w:pos="720"/>
          <w:tab w:val="left" w:pos="284"/>
          <w:tab w:val="num" w:pos="436"/>
        </w:tabs>
        <w:spacing w:after="0" w:line="240" w:lineRule="auto"/>
        <w:ind w:left="0" w:firstLine="0"/>
        <w:jc w:val="both"/>
        <w:rPr>
          <w:rFonts w:cs="Calibri"/>
          <w:color w:val="000000"/>
        </w:rPr>
      </w:pPr>
      <w:r w:rsidRPr="00CD125D">
        <w:rPr>
          <w:rFonts w:cs="Calibri"/>
          <w:color w:val="000000"/>
        </w:rPr>
        <w:t>266 αιτήσεις, βρίσκονται στο στάδιο διμερούς διαπραγμάτευσης με το Δημόσιο (ΑΑΔΕ και ΕΦΚΑ).</w:t>
      </w:r>
    </w:p>
    <w:p w:rsidR="00E95CA0" w:rsidRDefault="003D5C98" w:rsidP="00E95CA0">
      <w:pPr>
        <w:tabs>
          <w:tab w:val="left" w:pos="284"/>
          <w:tab w:val="num" w:pos="436"/>
        </w:tabs>
        <w:spacing w:after="0" w:line="240" w:lineRule="auto"/>
        <w:jc w:val="both"/>
        <w:rPr>
          <w:rFonts w:cs="Calibri"/>
          <w:color w:val="000000"/>
          <w:sz w:val="24"/>
          <w:szCs w:val="24"/>
        </w:rPr>
      </w:pPr>
      <w:r>
        <w:rPr>
          <w:rFonts w:cs="Calibri"/>
          <w:noProof/>
          <w:color w:val="000000"/>
          <w:sz w:val="24"/>
          <w:szCs w:val="24"/>
          <w:lang w:eastAsia="el-GR"/>
        </w:rPr>
        <mc:AlternateContent>
          <mc:Choice Requires="wps">
            <w:drawing>
              <wp:anchor distT="0" distB="0" distL="114300" distR="114300" simplePos="0" relativeHeight="251658240" behindDoc="0" locked="0" layoutInCell="1" allowOverlap="1">
                <wp:simplePos x="0" y="0"/>
                <wp:positionH relativeFrom="column">
                  <wp:posOffset>-825500</wp:posOffset>
                </wp:positionH>
                <wp:positionV relativeFrom="paragraph">
                  <wp:posOffset>133350</wp:posOffset>
                </wp:positionV>
                <wp:extent cx="6718300" cy="2919095"/>
                <wp:effectExtent l="3175" t="0" r="317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291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25D" w:rsidRDefault="00CD125D">
                            <w:r>
                              <w:rPr>
                                <w:noProof/>
                                <w:lang w:eastAsia="el-GR"/>
                              </w:rPr>
                              <w:drawing>
                                <wp:inline distT="0" distB="0" distL="0" distR="0">
                                  <wp:extent cx="6407150" cy="28448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407150" cy="2844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5pt;margin-top:10.5pt;width:529pt;height:22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Uf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" stroked="f">
                <v:textbox>
                  <w:txbxContent>
                    <w:p w:rsidR="00CD125D" w:rsidRDefault="00CD125D">
                      <w:r>
                        <w:rPr>
                          <w:noProof/>
                          <w:lang w:eastAsia="el-GR"/>
                        </w:rPr>
                        <w:drawing>
                          <wp:inline distT="0" distB="0" distL="0" distR="0">
                            <wp:extent cx="6407150" cy="28448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407150" cy="2844800"/>
                                    </a:xfrm>
                                    <a:prstGeom prst="rect">
                                      <a:avLst/>
                                    </a:prstGeom>
                                    <a:noFill/>
                                    <a:ln w="9525">
                                      <a:noFill/>
                                      <a:miter lim="800000"/>
                                      <a:headEnd/>
                                      <a:tailEnd/>
                                    </a:ln>
                                  </pic:spPr>
                                </pic:pic>
                              </a:graphicData>
                            </a:graphic>
                          </wp:inline>
                        </w:drawing>
                      </w:r>
                    </w:p>
                  </w:txbxContent>
                </v:textbox>
              </v:shape>
            </w:pict>
          </mc:Fallback>
        </mc:AlternateContent>
      </w:r>
    </w:p>
    <w:p w:rsidR="00E95CA0" w:rsidRDefault="00E95CA0" w:rsidP="00E95CA0">
      <w:pPr>
        <w:tabs>
          <w:tab w:val="left" w:pos="284"/>
          <w:tab w:val="num" w:pos="436"/>
        </w:tabs>
        <w:spacing w:after="0" w:line="240" w:lineRule="auto"/>
        <w:jc w:val="both"/>
        <w:rPr>
          <w:rFonts w:cs="Calibri"/>
          <w:color w:val="000000"/>
          <w:sz w:val="24"/>
          <w:szCs w:val="24"/>
        </w:rPr>
      </w:pPr>
    </w:p>
    <w:p w:rsidR="00E95CA0" w:rsidRDefault="00E95CA0" w:rsidP="00E95CA0">
      <w:pPr>
        <w:tabs>
          <w:tab w:val="left" w:pos="284"/>
          <w:tab w:val="num" w:pos="436"/>
        </w:tabs>
        <w:spacing w:after="0" w:line="240" w:lineRule="auto"/>
        <w:jc w:val="both"/>
        <w:rPr>
          <w:rFonts w:cs="Calibri"/>
          <w:color w:val="000000"/>
          <w:sz w:val="24"/>
          <w:szCs w:val="24"/>
        </w:rPr>
      </w:pPr>
    </w:p>
    <w:p w:rsidR="00E95CA0" w:rsidRDefault="00E95CA0" w:rsidP="00E95CA0">
      <w:pPr>
        <w:tabs>
          <w:tab w:val="left" w:pos="284"/>
          <w:tab w:val="num" w:pos="436"/>
        </w:tabs>
        <w:spacing w:after="0" w:line="240" w:lineRule="auto"/>
        <w:jc w:val="both"/>
        <w:rPr>
          <w:rFonts w:cs="Calibri"/>
          <w:color w:val="000000"/>
          <w:sz w:val="24"/>
          <w:szCs w:val="24"/>
        </w:rPr>
      </w:pPr>
    </w:p>
    <w:p w:rsidR="00E95CA0" w:rsidRDefault="00E95CA0" w:rsidP="00E95CA0">
      <w:pPr>
        <w:tabs>
          <w:tab w:val="left" w:pos="284"/>
          <w:tab w:val="num" w:pos="436"/>
        </w:tabs>
        <w:spacing w:after="0" w:line="240" w:lineRule="auto"/>
        <w:jc w:val="both"/>
        <w:rPr>
          <w:rFonts w:cs="Calibri"/>
          <w:color w:val="000000"/>
          <w:sz w:val="24"/>
          <w:szCs w:val="24"/>
        </w:rPr>
      </w:pPr>
    </w:p>
    <w:p w:rsidR="00E95CA0" w:rsidRDefault="00E95CA0" w:rsidP="00E95CA0">
      <w:pPr>
        <w:tabs>
          <w:tab w:val="left" w:pos="284"/>
          <w:tab w:val="num" w:pos="436"/>
        </w:tabs>
        <w:spacing w:after="0" w:line="240" w:lineRule="auto"/>
        <w:jc w:val="both"/>
        <w:rPr>
          <w:rFonts w:cs="Calibri"/>
          <w:color w:val="000000"/>
          <w:sz w:val="24"/>
          <w:szCs w:val="24"/>
        </w:rPr>
      </w:pPr>
    </w:p>
    <w:p w:rsidR="00E95CA0" w:rsidRDefault="00E95CA0" w:rsidP="00E95CA0">
      <w:pPr>
        <w:tabs>
          <w:tab w:val="left" w:pos="284"/>
          <w:tab w:val="num" w:pos="436"/>
        </w:tabs>
        <w:spacing w:after="0" w:line="240" w:lineRule="auto"/>
        <w:jc w:val="both"/>
        <w:rPr>
          <w:rFonts w:cs="Calibri"/>
          <w:color w:val="000000"/>
          <w:sz w:val="24"/>
          <w:szCs w:val="24"/>
        </w:rPr>
      </w:pPr>
    </w:p>
    <w:p w:rsidR="00E95CA0" w:rsidRDefault="00E95CA0" w:rsidP="00E95CA0">
      <w:pPr>
        <w:tabs>
          <w:tab w:val="left" w:pos="284"/>
          <w:tab w:val="num" w:pos="436"/>
        </w:tabs>
        <w:spacing w:after="0" w:line="240" w:lineRule="auto"/>
        <w:jc w:val="both"/>
        <w:rPr>
          <w:rFonts w:cs="Calibri"/>
          <w:color w:val="000000"/>
          <w:sz w:val="24"/>
          <w:szCs w:val="24"/>
        </w:rPr>
      </w:pPr>
    </w:p>
    <w:p w:rsidR="00E95CA0" w:rsidRDefault="00E95CA0" w:rsidP="00E95CA0">
      <w:pPr>
        <w:tabs>
          <w:tab w:val="left" w:pos="284"/>
          <w:tab w:val="num" w:pos="436"/>
        </w:tabs>
        <w:spacing w:after="0" w:line="240" w:lineRule="auto"/>
        <w:jc w:val="both"/>
        <w:rPr>
          <w:rFonts w:cs="Calibri"/>
          <w:color w:val="000000"/>
          <w:sz w:val="24"/>
          <w:szCs w:val="24"/>
        </w:rPr>
      </w:pPr>
    </w:p>
    <w:p w:rsidR="00E95CA0" w:rsidRDefault="00E95CA0" w:rsidP="00E95CA0">
      <w:pPr>
        <w:tabs>
          <w:tab w:val="left" w:pos="284"/>
          <w:tab w:val="num" w:pos="436"/>
        </w:tabs>
        <w:spacing w:after="0" w:line="240" w:lineRule="auto"/>
        <w:jc w:val="both"/>
        <w:rPr>
          <w:rFonts w:cs="Calibri"/>
          <w:color w:val="000000"/>
          <w:sz w:val="24"/>
          <w:szCs w:val="24"/>
        </w:rPr>
      </w:pPr>
    </w:p>
    <w:p w:rsidR="00E95CA0" w:rsidRDefault="00E95CA0" w:rsidP="00E95CA0">
      <w:pPr>
        <w:tabs>
          <w:tab w:val="left" w:pos="284"/>
          <w:tab w:val="num" w:pos="436"/>
        </w:tabs>
        <w:spacing w:after="0" w:line="240" w:lineRule="auto"/>
        <w:jc w:val="both"/>
        <w:rPr>
          <w:rFonts w:cs="Calibri"/>
          <w:color w:val="000000"/>
          <w:sz w:val="24"/>
          <w:szCs w:val="24"/>
        </w:rPr>
      </w:pPr>
    </w:p>
    <w:p w:rsidR="00E95CA0" w:rsidRDefault="00E95CA0" w:rsidP="00E95CA0">
      <w:pPr>
        <w:tabs>
          <w:tab w:val="left" w:pos="284"/>
          <w:tab w:val="num" w:pos="436"/>
        </w:tabs>
        <w:spacing w:after="0" w:line="240" w:lineRule="auto"/>
        <w:jc w:val="both"/>
        <w:rPr>
          <w:rFonts w:cs="Calibri"/>
          <w:color w:val="000000"/>
          <w:sz w:val="24"/>
          <w:szCs w:val="24"/>
        </w:rPr>
      </w:pPr>
    </w:p>
    <w:p w:rsidR="00E95CA0" w:rsidRDefault="00E95CA0" w:rsidP="00E95CA0">
      <w:pPr>
        <w:tabs>
          <w:tab w:val="left" w:pos="284"/>
          <w:tab w:val="num" w:pos="436"/>
        </w:tabs>
        <w:spacing w:after="0" w:line="240" w:lineRule="auto"/>
        <w:jc w:val="both"/>
        <w:rPr>
          <w:rFonts w:cs="Calibri"/>
          <w:color w:val="000000"/>
          <w:sz w:val="24"/>
          <w:szCs w:val="24"/>
        </w:rPr>
      </w:pPr>
    </w:p>
    <w:p w:rsidR="00E95CA0" w:rsidRDefault="00E95CA0" w:rsidP="00E95CA0">
      <w:pPr>
        <w:tabs>
          <w:tab w:val="left" w:pos="284"/>
          <w:tab w:val="num" w:pos="436"/>
        </w:tabs>
        <w:spacing w:after="0" w:line="240" w:lineRule="auto"/>
        <w:jc w:val="both"/>
        <w:rPr>
          <w:rFonts w:cs="Calibri"/>
          <w:color w:val="000000"/>
          <w:sz w:val="24"/>
          <w:szCs w:val="24"/>
        </w:rPr>
      </w:pPr>
    </w:p>
    <w:p w:rsidR="00E95CA0" w:rsidRDefault="00E95CA0" w:rsidP="0042327F">
      <w:pPr>
        <w:tabs>
          <w:tab w:val="left" w:pos="284"/>
        </w:tabs>
        <w:spacing w:after="0" w:line="240" w:lineRule="auto"/>
        <w:jc w:val="both"/>
        <w:rPr>
          <w:rFonts w:cs="Calibri"/>
        </w:rPr>
      </w:pPr>
    </w:p>
    <w:p w:rsidR="00E95CA0" w:rsidRPr="00EA7DE4" w:rsidRDefault="00E95CA0" w:rsidP="0042327F">
      <w:pPr>
        <w:tabs>
          <w:tab w:val="left" w:pos="284"/>
        </w:tabs>
        <w:spacing w:after="0" w:line="240" w:lineRule="auto"/>
        <w:jc w:val="both"/>
        <w:rPr>
          <w:rFonts w:cs="Calibri"/>
        </w:rPr>
      </w:pPr>
    </w:p>
    <w:p w:rsidR="00FF12BB" w:rsidRPr="00AC5B0E" w:rsidRDefault="00E95CA0" w:rsidP="00D812D2">
      <w:pPr>
        <w:tabs>
          <w:tab w:val="left" w:pos="284"/>
        </w:tabs>
        <w:spacing w:after="0" w:line="240" w:lineRule="auto"/>
        <w:jc w:val="both"/>
        <w:rPr>
          <w:rFonts w:cs="Calibri"/>
          <w:sz w:val="24"/>
          <w:szCs w:val="24"/>
        </w:rPr>
      </w:pPr>
      <w:r w:rsidRPr="00E95CA0">
        <w:rPr>
          <w:rFonts w:cs="Calibri"/>
          <w:noProof/>
          <w:sz w:val="24"/>
          <w:szCs w:val="24"/>
          <w:lang w:eastAsia="el-GR"/>
        </w:rPr>
        <w:drawing>
          <wp:inline distT="0" distB="0" distL="0" distR="0">
            <wp:extent cx="5274310" cy="2729944"/>
            <wp:effectExtent l="0" t="0" r="0" b="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FF12BB" w:rsidRPr="00AC5B0E" w:rsidSect="00CD125D">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06924"/>
    <w:multiLevelType w:val="hybridMultilevel"/>
    <w:tmpl w:val="AB3C8FAC"/>
    <w:lvl w:ilvl="0" w:tplc="04080005">
      <w:start w:val="1"/>
      <w:numFmt w:val="bullet"/>
      <w:lvlText w:val=""/>
      <w:lvlJc w:val="left"/>
      <w:pPr>
        <w:tabs>
          <w:tab w:val="num" w:pos="720"/>
        </w:tabs>
        <w:ind w:left="720" w:hanging="360"/>
      </w:pPr>
      <w:rPr>
        <w:rFonts w:ascii="Wingdings" w:hAnsi="Wingdings" w:hint="default"/>
      </w:rPr>
    </w:lvl>
    <w:lvl w:ilvl="1" w:tplc="A17475A4">
      <w:start w:val="1"/>
      <w:numFmt w:val="bullet"/>
      <w:lvlText w:val="•"/>
      <w:lvlJc w:val="left"/>
      <w:pPr>
        <w:tabs>
          <w:tab w:val="num" w:pos="1440"/>
        </w:tabs>
        <w:ind w:left="1440" w:hanging="360"/>
      </w:pPr>
      <w:rPr>
        <w:rFonts w:ascii="Arial" w:hAnsi="Arial" w:hint="default"/>
      </w:rPr>
    </w:lvl>
    <w:lvl w:ilvl="2" w:tplc="6EEAA5F0" w:tentative="1">
      <w:start w:val="1"/>
      <w:numFmt w:val="bullet"/>
      <w:lvlText w:val="•"/>
      <w:lvlJc w:val="left"/>
      <w:pPr>
        <w:tabs>
          <w:tab w:val="num" w:pos="2160"/>
        </w:tabs>
        <w:ind w:left="2160" w:hanging="360"/>
      </w:pPr>
      <w:rPr>
        <w:rFonts w:ascii="Arial" w:hAnsi="Arial" w:hint="default"/>
      </w:rPr>
    </w:lvl>
    <w:lvl w:ilvl="3" w:tplc="5E9AC72E" w:tentative="1">
      <w:start w:val="1"/>
      <w:numFmt w:val="bullet"/>
      <w:lvlText w:val="•"/>
      <w:lvlJc w:val="left"/>
      <w:pPr>
        <w:tabs>
          <w:tab w:val="num" w:pos="2880"/>
        </w:tabs>
        <w:ind w:left="2880" w:hanging="360"/>
      </w:pPr>
      <w:rPr>
        <w:rFonts w:ascii="Arial" w:hAnsi="Arial" w:hint="default"/>
      </w:rPr>
    </w:lvl>
    <w:lvl w:ilvl="4" w:tplc="ECC4D1E4" w:tentative="1">
      <w:start w:val="1"/>
      <w:numFmt w:val="bullet"/>
      <w:lvlText w:val="•"/>
      <w:lvlJc w:val="left"/>
      <w:pPr>
        <w:tabs>
          <w:tab w:val="num" w:pos="3600"/>
        </w:tabs>
        <w:ind w:left="3600" w:hanging="360"/>
      </w:pPr>
      <w:rPr>
        <w:rFonts w:ascii="Arial" w:hAnsi="Arial" w:hint="default"/>
      </w:rPr>
    </w:lvl>
    <w:lvl w:ilvl="5" w:tplc="A46430C0" w:tentative="1">
      <w:start w:val="1"/>
      <w:numFmt w:val="bullet"/>
      <w:lvlText w:val="•"/>
      <w:lvlJc w:val="left"/>
      <w:pPr>
        <w:tabs>
          <w:tab w:val="num" w:pos="4320"/>
        </w:tabs>
        <w:ind w:left="4320" w:hanging="360"/>
      </w:pPr>
      <w:rPr>
        <w:rFonts w:ascii="Arial" w:hAnsi="Arial" w:hint="default"/>
      </w:rPr>
    </w:lvl>
    <w:lvl w:ilvl="6" w:tplc="9C40CC1C" w:tentative="1">
      <w:start w:val="1"/>
      <w:numFmt w:val="bullet"/>
      <w:lvlText w:val="•"/>
      <w:lvlJc w:val="left"/>
      <w:pPr>
        <w:tabs>
          <w:tab w:val="num" w:pos="5040"/>
        </w:tabs>
        <w:ind w:left="5040" w:hanging="360"/>
      </w:pPr>
      <w:rPr>
        <w:rFonts w:ascii="Arial" w:hAnsi="Arial" w:hint="default"/>
      </w:rPr>
    </w:lvl>
    <w:lvl w:ilvl="7" w:tplc="CDEE9BBA" w:tentative="1">
      <w:start w:val="1"/>
      <w:numFmt w:val="bullet"/>
      <w:lvlText w:val="•"/>
      <w:lvlJc w:val="left"/>
      <w:pPr>
        <w:tabs>
          <w:tab w:val="num" w:pos="5760"/>
        </w:tabs>
        <w:ind w:left="5760" w:hanging="360"/>
      </w:pPr>
      <w:rPr>
        <w:rFonts w:ascii="Arial" w:hAnsi="Arial" w:hint="default"/>
      </w:rPr>
    </w:lvl>
    <w:lvl w:ilvl="8" w:tplc="ACD2A9C4" w:tentative="1">
      <w:start w:val="1"/>
      <w:numFmt w:val="bullet"/>
      <w:lvlText w:val="•"/>
      <w:lvlJc w:val="left"/>
      <w:pPr>
        <w:tabs>
          <w:tab w:val="num" w:pos="6480"/>
        </w:tabs>
        <w:ind w:left="6480" w:hanging="360"/>
      </w:pPr>
      <w:rPr>
        <w:rFonts w:ascii="Arial" w:hAnsi="Arial" w:hint="default"/>
      </w:rPr>
    </w:lvl>
  </w:abstractNum>
  <w:abstractNum w:abstractNumId="1">
    <w:nsid w:val="640A120C"/>
    <w:multiLevelType w:val="hybridMultilevel"/>
    <w:tmpl w:val="A5786460"/>
    <w:lvl w:ilvl="0" w:tplc="0409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5C"/>
    <w:rsid w:val="00023423"/>
    <w:rsid w:val="000262DD"/>
    <w:rsid w:val="000732E3"/>
    <w:rsid w:val="000F3521"/>
    <w:rsid w:val="001178DC"/>
    <w:rsid w:val="00153B7E"/>
    <w:rsid w:val="00166F1A"/>
    <w:rsid w:val="001C6324"/>
    <w:rsid w:val="001D41D3"/>
    <w:rsid w:val="00202F70"/>
    <w:rsid w:val="00221EF2"/>
    <w:rsid w:val="0031540E"/>
    <w:rsid w:val="003A4BE4"/>
    <w:rsid w:val="003D5C98"/>
    <w:rsid w:val="0042327F"/>
    <w:rsid w:val="00495AFD"/>
    <w:rsid w:val="004B2CB4"/>
    <w:rsid w:val="004C55AF"/>
    <w:rsid w:val="004F3BED"/>
    <w:rsid w:val="005055E7"/>
    <w:rsid w:val="005414FA"/>
    <w:rsid w:val="00580850"/>
    <w:rsid w:val="00653E3F"/>
    <w:rsid w:val="00680F5B"/>
    <w:rsid w:val="006D7D2B"/>
    <w:rsid w:val="006F47E8"/>
    <w:rsid w:val="00770A5C"/>
    <w:rsid w:val="0079299B"/>
    <w:rsid w:val="00816294"/>
    <w:rsid w:val="0084456A"/>
    <w:rsid w:val="008C6BE5"/>
    <w:rsid w:val="00905AFF"/>
    <w:rsid w:val="00933840"/>
    <w:rsid w:val="00970B61"/>
    <w:rsid w:val="009F3A22"/>
    <w:rsid w:val="00A86EE6"/>
    <w:rsid w:val="00AC5B0E"/>
    <w:rsid w:val="00B30EA3"/>
    <w:rsid w:val="00B431F2"/>
    <w:rsid w:val="00BA4C8C"/>
    <w:rsid w:val="00BF712F"/>
    <w:rsid w:val="00C3760E"/>
    <w:rsid w:val="00C51E2A"/>
    <w:rsid w:val="00C72ABB"/>
    <w:rsid w:val="00CB165C"/>
    <w:rsid w:val="00CD125D"/>
    <w:rsid w:val="00D00742"/>
    <w:rsid w:val="00D0082D"/>
    <w:rsid w:val="00D2602A"/>
    <w:rsid w:val="00D30BAA"/>
    <w:rsid w:val="00D64BEE"/>
    <w:rsid w:val="00D812D2"/>
    <w:rsid w:val="00D84581"/>
    <w:rsid w:val="00E02363"/>
    <w:rsid w:val="00E1451C"/>
    <w:rsid w:val="00E73636"/>
    <w:rsid w:val="00E95CA0"/>
    <w:rsid w:val="00EA7DE4"/>
    <w:rsid w:val="00F2624F"/>
    <w:rsid w:val="00F31BC1"/>
    <w:rsid w:val="00F377F6"/>
    <w:rsid w:val="00FF12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165C"/>
    <w:pPr>
      <w:spacing w:after="0" w:line="240" w:lineRule="auto"/>
    </w:pPr>
    <w:rPr>
      <w:rFonts w:ascii="Tahoma" w:eastAsiaTheme="minorHAnsi" w:hAnsi="Tahoma" w:cs="Tahoma"/>
      <w:sz w:val="16"/>
      <w:szCs w:val="16"/>
    </w:rPr>
  </w:style>
  <w:style w:type="character" w:customStyle="1" w:styleId="Char">
    <w:name w:val="Κείμενο πλαισίου Char"/>
    <w:basedOn w:val="a0"/>
    <w:link w:val="a3"/>
    <w:uiPriority w:val="99"/>
    <w:semiHidden/>
    <w:rsid w:val="00CB165C"/>
    <w:rPr>
      <w:rFonts w:ascii="Tahoma" w:hAnsi="Tahoma" w:cs="Tahoma"/>
      <w:sz w:val="16"/>
      <w:szCs w:val="16"/>
    </w:rPr>
  </w:style>
  <w:style w:type="paragraph" w:styleId="Web">
    <w:name w:val="Normal (Web)"/>
    <w:basedOn w:val="a"/>
    <w:uiPriority w:val="99"/>
    <w:semiHidden/>
    <w:unhideWhenUsed/>
    <w:rsid w:val="00F377F6"/>
    <w:pPr>
      <w:spacing w:before="100" w:beforeAutospacing="1" w:after="100" w:afterAutospacing="1" w:line="240" w:lineRule="auto"/>
    </w:pPr>
    <w:rPr>
      <w:rFonts w:ascii="Times New Roman" w:eastAsiaTheme="minorEastAsia" w:hAnsi="Times New Roman"/>
      <w:sz w:val="24"/>
      <w:szCs w:val="24"/>
      <w:lang w:eastAsia="el-GR"/>
    </w:rPr>
  </w:style>
  <w:style w:type="paragraph" w:styleId="a4">
    <w:name w:val="List Paragraph"/>
    <w:basedOn w:val="a"/>
    <w:uiPriority w:val="34"/>
    <w:qFormat/>
    <w:rsid w:val="00AC5B0E"/>
    <w:pPr>
      <w:spacing w:after="0" w:line="240" w:lineRule="auto"/>
      <w:ind w:left="720"/>
      <w:contextualSpacing/>
    </w:pPr>
    <w:rPr>
      <w:rFonts w:eastAsiaTheme="minorHAnsi" w:cs="Calibri"/>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165C"/>
    <w:pPr>
      <w:spacing w:after="0" w:line="240" w:lineRule="auto"/>
    </w:pPr>
    <w:rPr>
      <w:rFonts w:ascii="Tahoma" w:eastAsiaTheme="minorHAnsi" w:hAnsi="Tahoma" w:cs="Tahoma"/>
      <w:sz w:val="16"/>
      <w:szCs w:val="16"/>
    </w:rPr>
  </w:style>
  <w:style w:type="character" w:customStyle="1" w:styleId="Char">
    <w:name w:val="Κείμενο πλαισίου Char"/>
    <w:basedOn w:val="a0"/>
    <w:link w:val="a3"/>
    <w:uiPriority w:val="99"/>
    <w:semiHidden/>
    <w:rsid w:val="00CB165C"/>
    <w:rPr>
      <w:rFonts w:ascii="Tahoma" w:hAnsi="Tahoma" w:cs="Tahoma"/>
      <w:sz w:val="16"/>
      <w:szCs w:val="16"/>
    </w:rPr>
  </w:style>
  <w:style w:type="paragraph" w:styleId="Web">
    <w:name w:val="Normal (Web)"/>
    <w:basedOn w:val="a"/>
    <w:uiPriority w:val="99"/>
    <w:semiHidden/>
    <w:unhideWhenUsed/>
    <w:rsid w:val="00F377F6"/>
    <w:pPr>
      <w:spacing w:before="100" w:beforeAutospacing="1" w:after="100" w:afterAutospacing="1" w:line="240" w:lineRule="auto"/>
    </w:pPr>
    <w:rPr>
      <w:rFonts w:ascii="Times New Roman" w:eastAsiaTheme="minorEastAsia" w:hAnsi="Times New Roman"/>
      <w:sz w:val="24"/>
      <w:szCs w:val="24"/>
      <w:lang w:eastAsia="el-GR"/>
    </w:rPr>
  </w:style>
  <w:style w:type="paragraph" w:styleId="a4">
    <w:name w:val="List Paragraph"/>
    <w:basedOn w:val="a"/>
    <w:uiPriority w:val="34"/>
    <w:qFormat/>
    <w:rsid w:val="00AC5B0E"/>
    <w:pPr>
      <w:spacing w:after="0" w:line="240" w:lineRule="auto"/>
      <w:ind w:left="720"/>
      <w:contextualSpacing/>
    </w:pPr>
    <w:rPr>
      <w:rFonts w:eastAsiaTheme="minorHAns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10.198.97.21\EnimYpostiriksi%20Daneiolipton\&#931;&#933;&#925;&#932;&#927;&#925;&#921;&#931;&#932;&#917;&#931;\&#931;&#932;&#913;&#932;&#921;&#931;&#932;&#921;&#922;&#913;%20OCW-%20&#928;&#929;&#937;&#932;&#919;%20&#922;&#913;&#932;&#927;&#921;&#922;&#921;&#913;\&#925;.4738_2020-&#925;&#917;&#927;&#931;%20&#917;&#926;&#937;&#916;&#921;&#922;&#913;&#931;&#932;&#921;&#922;&#927;&#931;\&#925;.4738_2020-&#925;&#917;&#927;&#931;%20&#917;&#926;&#937;&#916;&#921;&#922;&#913;&#931;&#932;&#921;&#922;&#927;&#93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700"/>
            </a:pPr>
            <a:r>
              <a:rPr lang="el-GR" sz="700" u="sng">
                <a:effectLst/>
              </a:rPr>
              <a:t>Εξωδικαστικός μηχανισμός ρύθμισης οφειλών Ν. 4738/2020</a:t>
            </a:r>
          </a:p>
          <a:p>
            <a:pPr algn="ctr">
              <a:defRPr sz="700"/>
            </a:pPr>
            <a:r>
              <a:rPr lang="el-GR" sz="700" b="0">
                <a:effectLst/>
              </a:rPr>
              <a:t>Στατιστικά στοιχεία ηλεκτρονικής πλατφόρμας</a:t>
            </a:r>
          </a:p>
          <a:p>
            <a:pPr algn="ctr">
              <a:defRPr sz="700"/>
            </a:pPr>
            <a:r>
              <a:rPr lang="el-GR" sz="700">
                <a:effectLst/>
              </a:rPr>
              <a:t>Είσοδος στην πλατφόρμα και άρση απορρήτου οφειλέτη</a:t>
            </a:r>
          </a:p>
          <a:p>
            <a:pPr algn="ctr">
              <a:defRPr sz="700"/>
            </a:pPr>
            <a:r>
              <a:rPr lang="el-GR" sz="700">
                <a:effectLst/>
              </a:rPr>
              <a:t>Έτος 2021</a:t>
            </a:r>
          </a:p>
        </c:rich>
      </c:tx>
      <c:overlay val="1"/>
    </c:title>
    <c:autoTitleDeleted val="0"/>
    <c:plotArea>
      <c:layout>
        <c:manualLayout>
          <c:layoutTarget val="inner"/>
          <c:xMode val="edge"/>
          <c:yMode val="edge"/>
          <c:x val="5.4110946577531134E-2"/>
          <c:y val="0.12287274460699146"/>
          <c:w val="0.89691780055268922"/>
          <c:h val="0.49915279790026296"/>
        </c:manualLayout>
      </c:layout>
      <c:barChart>
        <c:barDir val="col"/>
        <c:grouping val="stacked"/>
        <c:varyColors val="0"/>
        <c:ser>
          <c:idx val="0"/>
          <c:order val="0"/>
          <c:tx>
            <c:strRef>
              <c:f>'[Ν.4738_2020-ΝΕΟΣ ΕΞΩΔΙΚΑΣΤΙΚΟΣ.xlsx]ΣΤΟΙΧΕΙΑ 2021'!$F$1</c:f>
              <c:strCache>
                <c:ptCount val="1"/>
                <c:pt idx="0">
                  <c:v>Πλήθος που προχώρησε σε άρση απορρητου, συμπλήρωσε τα στοιχεία (που δεν υπάρχουν ήδη στις βάσεις δεδομένων δημοσίου) και έφτασε στο σημείο αίτησης για άντληση οικονομικών στοιχείων από ΑΑΔΕ, ΕΦΚΑ, τράπεζες και servicers </c:v>
                </c:pt>
              </c:strCache>
            </c:strRef>
          </c:tx>
          <c:spPr>
            <a:solidFill>
              <a:schemeClr val="tx2">
                <a:lumMod val="20000"/>
                <a:lumOff val="80000"/>
              </a:schemeClr>
            </a:solidFill>
            <a:ln>
              <a:noFill/>
            </a:ln>
          </c:spPr>
          <c:invertIfNegative val="0"/>
          <c:dLbls>
            <c:dLbl>
              <c:idx val="0"/>
              <c:layout>
                <c:manualLayout>
                  <c:x val="0"/>
                  <c:y val="0"/>
                </c:manualLayout>
              </c:layout>
              <c:showLegendKey val="0"/>
              <c:showVal val="1"/>
              <c:showCatName val="0"/>
              <c:showSerName val="0"/>
              <c:showPercent val="0"/>
              <c:showBubbleSize val="0"/>
            </c:dLbl>
            <c:dLbl>
              <c:idx val="1"/>
              <c:layout>
                <c:manualLayout>
                  <c:x val="1.8912532367235534E-3"/>
                  <c:y val="1.8049666868564517E-4"/>
                </c:manualLayout>
              </c:layout>
              <c:showLegendKey val="0"/>
              <c:showVal val="1"/>
              <c:showCatName val="0"/>
              <c:showSerName val="0"/>
              <c:showPercent val="0"/>
              <c:showBubbleSize val="0"/>
            </c:dLbl>
            <c:dLbl>
              <c:idx val="2"/>
              <c:layout>
                <c:manualLayout>
                  <c:x val="-1.7103380914349868E-3"/>
                  <c:y val="8.1542246243609794E-3"/>
                </c:manualLayout>
              </c:layout>
              <c:showLegendKey val="0"/>
              <c:showVal val="1"/>
              <c:showCatName val="0"/>
              <c:showSerName val="0"/>
              <c:showPercent val="0"/>
              <c:showBubbleSize val="0"/>
            </c:dLbl>
            <c:dLbl>
              <c:idx val="3"/>
              <c:layout>
                <c:manualLayout>
                  <c:x val="-5.7006318670668515E-4"/>
                  <c:y val="1.3180608521495789E-2"/>
                </c:manualLayout>
              </c:layout>
              <c:showLegendKey val="0"/>
              <c:showVal val="1"/>
              <c:showCatName val="0"/>
              <c:showSerName val="0"/>
              <c:showPercent val="0"/>
              <c:showBubbleSize val="0"/>
            </c:dLbl>
            <c:dLbl>
              <c:idx val="4"/>
              <c:layout>
                <c:manualLayout>
                  <c:x val="0"/>
                  <c:y val="2.3638508601059031E-2"/>
                </c:manualLayout>
              </c:layout>
              <c:showLegendKey val="0"/>
              <c:showVal val="1"/>
              <c:showCatName val="0"/>
              <c:showSerName val="0"/>
              <c:showPercent val="0"/>
              <c:showBubbleSize val="0"/>
            </c:dLbl>
            <c:dLbl>
              <c:idx val="5"/>
              <c:layout>
                <c:manualLayout>
                  <c:x val="0"/>
                  <c:y val="2.0640895497818886E-2"/>
                </c:manualLayout>
              </c:layout>
              <c:showLegendKey val="0"/>
              <c:showVal val="1"/>
              <c:showCatName val="0"/>
              <c:showSerName val="0"/>
              <c:showPercent val="0"/>
              <c:showBubbleSize val="0"/>
            </c:dLbl>
            <c:dLbl>
              <c:idx val="6"/>
              <c:layout>
                <c:manualLayout>
                  <c:x val="0"/>
                  <c:y val="1.5055008367856461E-2"/>
                </c:manualLayout>
              </c:layout>
              <c:showLegendKey val="0"/>
              <c:showVal val="1"/>
              <c:showCatName val="0"/>
              <c:showSerName val="0"/>
              <c:showPercent val="0"/>
              <c:showBubbleSize val="0"/>
            </c:dLbl>
            <c:dLbl>
              <c:idx val="7"/>
              <c:layout>
                <c:manualLayout>
                  <c:x val="-1.3162845129220026E-3"/>
                  <c:y val="1.50301334284434E-2"/>
                </c:manualLayout>
              </c:layout>
              <c:showLegendKey val="0"/>
              <c:showVal val="1"/>
              <c:showCatName val="0"/>
              <c:showSerName val="0"/>
              <c:showPercent val="0"/>
              <c:showBubbleSize val="0"/>
            </c:dLbl>
            <c:dLbl>
              <c:idx val="8"/>
              <c:layout>
                <c:manualLayout>
                  <c:x val="-4.9015333927359653E-6"/>
                  <c:y val="1.2604095219804851E-2"/>
                </c:manualLayout>
              </c:layout>
              <c:showLegendKey val="0"/>
              <c:showVal val="1"/>
              <c:showCatName val="0"/>
              <c:showSerName val="0"/>
              <c:showPercent val="0"/>
              <c:showBubbleSize val="0"/>
            </c:dLbl>
            <c:dLbl>
              <c:idx val="9"/>
              <c:layout>
                <c:manualLayout>
                  <c:x val="-1.3162845129220026E-3"/>
                  <c:y val="1.1269627881880621E-2"/>
                </c:manualLayout>
              </c:layout>
              <c:showLegendKey val="0"/>
              <c:showVal val="1"/>
              <c:showCatName val="0"/>
              <c:showSerName val="0"/>
              <c:showPercent val="0"/>
              <c:showBubbleSize val="0"/>
            </c:dLbl>
            <c:dLbl>
              <c:idx val="10"/>
              <c:layout>
                <c:manualLayout>
                  <c:x val="-7.4607279490038604E-4"/>
                  <c:y val="1.3471425827869093E-2"/>
                </c:manualLayout>
              </c:layout>
              <c:showLegendKey val="0"/>
              <c:showVal val="1"/>
              <c:showCatName val="0"/>
              <c:showSerName val="0"/>
              <c:showPercent val="0"/>
              <c:showBubbleSize val="0"/>
            </c:dLbl>
            <c:txPr>
              <a:bodyPr/>
              <a:lstStyle/>
              <a:p>
                <a:pPr>
                  <a:defRPr sz="600" b="0" u="none"/>
                </a:pPr>
                <a:endParaRPr lang="el-GR"/>
              </a:p>
            </c:txPr>
            <c:showLegendKey val="0"/>
            <c:showVal val="1"/>
            <c:showCatName val="0"/>
            <c:showSerName val="0"/>
            <c:showPercent val="0"/>
            <c:showBubbleSize val="0"/>
            <c:showLeaderLines val="0"/>
          </c:dLbls>
          <c:cat>
            <c:strRef>
              <c:f>'[Ν.4738_2020-ΝΕΟΣ ΕΞΩΔΙΚΑΣΤΙΚΟΣ.xlsx]ΣΤΟΙΧΕΙΑ 2021'!$C$2:$C$215</c:f>
              <c:strCache>
                <c:ptCount val="9"/>
                <c:pt idx="0">
                  <c:v>01/06/2021 
1η ημέρα λειτουργίας</c:v>
                </c:pt>
                <c:pt idx="1">
                  <c:v>07/06/2021 
1η εβδομάδα λειτουργίας</c:v>
                </c:pt>
                <c:pt idx="2">
                  <c:v>30/06/2021 
1ος μήνας λειτουργίας</c:v>
                </c:pt>
                <c:pt idx="3">
                  <c:v>31/07/2021 
2ος μήνας λειτουργίας</c:v>
                </c:pt>
                <c:pt idx="4">
                  <c:v>31/08/2021 
3ος μήνας λειτουργίας</c:v>
                </c:pt>
                <c:pt idx="5">
                  <c:v>30/09/2021 
4ος μήνας λειτουργίας</c:v>
                </c:pt>
                <c:pt idx="6">
                  <c:v>31/10/2021 
5ος μήνας λειτουργίας</c:v>
                </c:pt>
                <c:pt idx="7">
                  <c:v>30/11/2021 
6ος μήνας λειτουργίας</c:v>
                </c:pt>
                <c:pt idx="8">
                  <c:v>Τέλος έτους 2021</c:v>
                </c:pt>
              </c:strCache>
            </c:strRef>
          </c:cat>
          <c:val>
            <c:numRef>
              <c:f>'[Ν.4738_2020-ΝΕΟΣ ΕΞΩΔΙΚΑΣΤΙΚΟΣ.xlsx]ΣΤΟΙΧΕΙΑ 2021'!$F$2:$F$215</c:f>
              <c:numCache>
                <c:formatCode>#,##0</c:formatCode>
                <c:ptCount val="9"/>
                <c:pt idx="0">
                  <c:v>1815</c:v>
                </c:pt>
                <c:pt idx="1">
                  <c:v>4993</c:v>
                </c:pt>
                <c:pt idx="2">
                  <c:v>15994</c:v>
                </c:pt>
                <c:pt idx="3">
                  <c:v>21361</c:v>
                </c:pt>
                <c:pt idx="4">
                  <c:v>23996</c:v>
                </c:pt>
                <c:pt idx="5">
                  <c:v>24838</c:v>
                </c:pt>
                <c:pt idx="6">
                  <c:v>25659</c:v>
                </c:pt>
                <c:pt idx="7">
                  <c:v>27642</c:v>
                </c:pt>
                <c:pt idx="8">
                  <c:v>28141</c:v>
                </c:pt>
              </c:numCache>
            </c:numRef>
          </c:val>
        </c:ser>
        <c:ser>
          <c:idx val="2"/>
          <c:order val="1"/>
          <c:tx>
            <c:strRef>
              <c:f>'[Ν.4738_2020-ΝΕΟΣ ΕΞΩΔΙΚΑΣΤΙΚΟΣ.xlsx]ΣΤΟΙΧΕΙΑ 2021'!$E$1</c:f>
              <c:strCache>
                <c:ptCount val="1"/>
                <c:pt idx="0">
                  <c:v>Πλήθος που προχώρησε σε άρση απορρητου και δεν έχει ακόμη προχωρήσει στα επόμενα βήματα</c:v>
                </c:pt>
              </c:strCache>
            </c:strRef>
          </c:tx>
          <c:spPr>
            <a:solidFill>
              <a:schemeClr val="accent3">
                <a:lumMod val="40000"/>
                <a:lumOff val="60000"/>
              </a:schemeClr>
            </a:solidFill>
          </c:spPr>
          <c:invertIfNegative val="0"/>
          <c:dLbls>
            <c:txPr>
              <a:bodyPr/>
              <a:lstStyle/>
              <a:p>
                <a:pPr>
                  <a:defRPr sz="600"/>
                </a:pPr>
                <a:endParaRPr lang="el-GR"/>
              </a:p>
            </c:txPr>
            <c:showLegendKey val="0"/>
            <c:showVal val="1"/>
            <c:showCatName val="0"/>
            <c:showSerName val="0"/>
            <c:showPercent val="0"/>
            <c:showBubbleSize val="0"/>
            <c:showLeaderLines val="0"/>
          </c:dLbls>
          <c:cat>
            <c:strRef>
              <c:f>'[Ν.4738_2020-ΝΕΟΣ ΕΞΩΔΙΚΑΣΤΙΚΟΣ.xlsx]ΣΤΟΙΧΕΙΑ 2021'!$C$2:$C$215</c:f>
              <c:strCache>
                <c:ptCount val="9"/>
                <c:pt idx="0">
                  <c:v>01/06/2021 
1η ημέρα λειτουργίας</c:v>
                </c:pt>
                <c:pt idx="1">
                  <c:v>07/06/2021 
1η εβδομάδα λειτουργίας</c:v>
                </c:pt>
                <c:pt idx="2">
                  <c:v>30/06/2021 
1ος μήνας λειτουργίας</c:v>
                </c:pt>
                <c:pt idx="3">
                  <c:v>31/07/2021 
2ος μήνας λειτουργίας</c:v>
                </c:pt>
                <c:pt idx="4">
                  <c:v>31/08/2021 
3ος μήνας λειτουργίας</c:v>
                </c:pt>
                <c:pt idx="5">
                  <c:v>30/09/2021 
4ος μήνας λειτουργίας</c:v>
                </c:pt>
                <c:pt idx="6">
                  <c:v>31/10/2021 
5ος μήνας λειτουργίας</c:v>
                </c:pt>
                <c:pt idx="7">
                  <c:v>30/11/2021 
6ος μήνας λειτουργίας</c:v>
                </c:pt>
                <c:pt idx="8">
                  <c:v>Τέλος έτους 2021</c:v>
                </c:pt>
              </c:strCache>
            </c:strRef>
          </c:cat>
          <c:val>
            <c:numRef>
              <c:f>'[Ν.4738_2020-ΝΕΟΣ ΕΞΩΔΙΚΑΣΤΙΚΟΣ.xlsx]ΣΤΟΙΧΕΙΑ 2021'!$E$2:$E$215</c:f>
              <c:numCache>
                <c:formatCode>#,##0</c:formatCode>
                <c:ptCount val="9"/>
                <c:pt idx="0">
                  <c:v>2402</c:v>
                </c:pt>
                <c:pt idx="1">
                  <c:v>4917</c:v>
                </c:pt>
                <c:pt idx="2">
                  <c:v>7484</c:v>
                </c:pt>
                <c:pt idx="3">
                  <c:v>8824</c:v>
                </c:pt>
                <c:pt idx="4">
                  <c:v>9100</c:v>
                </c:pt>
                <c:pt idx="5">
                  <c:v>10915</c:v>
                </c:pt>
                <c:pt idx="6">
                  <c:v>12120</c:v>
                </c:pt>
                <c:pt idx="7">
                  <c:v>13094</c:v>
                </c:pt>
                <c:pt idx="8">
                  <c:v>15027</c:v>
                </c:pt>
              </c:numCache>
            </c:numRef>
          </c:val>
        </c:ser>
        <c:ser>
          <c:idx val="1"/>
          <c:order val="2"/>
          <c:tx>
            <c:strRef>
              <c:f>'[Ν.4738_2020-ΝΕΟΣ ΕΞΩΔΙΚΑΣΤΙΚΟΣ.xlsx]ΣΤΟΙΧΕΙΑ 2021'!$D$1</c:f>
              <c:strCache>
                <c:ptCount val="1"/>
                <c:pt idx="0">
                  <c:v>Πλήθος που εισήλθε στην πλατφόρμα και ξεκίνησε την αίτηση του</c:v>
                </c:pt>
              </c:strCache>
            </c:strRef>
          </c:tx>
          <c:spPr>
            <a:noFill/>
            <a:ln>
              <a:noFill/>
            </a:ln>
          </c:spPr>
          <c:invertIfNegative val="0"/>
          <c:dLbls>
            <c:dLbl>
              <c:idx val="0"/>
              <c:layout>
                <c:manualLayout>
                  <c:x val="0"/>
                  <c:y val="-7.6923076923076979E-3"/>
                </c:manualLayout>
              </c:layout>
              <c:dLblPos val="ctr"/>
              <c:showLegendKey val="0"/>
              <c:showVal val="1"/>
              <c:showCatName val="0"/>
              <c:showSerName val="0"/>
              <c:showPercent val="0"/>
              <c:showBubbleSize val="0"/>
            </c:dLbl>
            <c:dLbl>
              <c:idx val="1"/>
              <c:layout>
                <c:manualLayout>
                  <c:x val="0"/>
                  <c:y val="7.6923076923076979E-3"/>
                </c:manualLayout>
              </c:layout>
              <c:dLblPos val="ctr"/>
              <c:showLegendKey val="0"/>
              <c:showVal val="1"/>
              <c:showCatName val="0"/>
              <c:showSerName val="0"/>
              <c:showPercent val="0"/>
              <c:showBubbleSize val="0"/>
            </c:dLbl>
            <c:dLbl>
              <c:idx val="2"/>
              <c:layout>
                <c:manualLayout>
                  <c:x val="0"/>
                  <c:y val="4.6877554939778902E-2"/>
                </c:manualLayout>
              </c:layout>
              <c:dLblPos val="ctr"/>
              <c:showLegendKey val="0"/>
              <c:showVal val="1"/>
              <c:showCatName val="0"/>
              <c:showSerName val="0"/>
              <c:showPercent val="0"/>
              <c:showBubbleSize val="0"/>
            </c:dLbl>
            <c:dLbl>
              <c:idx val="3"/>
              <c:layout>
                <c:manualLayout>
                  <c:x val="0"/>
                  <c:y val="6.5067537289546201E-2"/>
                </c:manualLayout>
              </c:layout>
              <c:dLblPos val="ctr"/>
              <c:showLegendKey val="0"/>
              <c:showVal val="1"/>
              <c:showCatName val="0"/>
              <c:showSerName val="0"/>
              <c:showPercent val="0"/>
              <c:showBubbleSize val="0"/>
            </c:dLbl>
            <c:dLbl>
              <c:idx val="4"/>
              <c:layout>
                <c:manualLayout>
                  <c:x val="0"/>
                  <c:y val="6.7872735420267644E-2"/>
                </c:manualLayout>
              </c:layout>
              <c:dLblPos val="ctr"/>
              <c:showLegendKey val="0"/>
              <c:showVal val="1"/>
              <c:showCatName val="0"/>
              <c:showSerName val="0"/>
              <c:showPercent val="0"/>
              <c:showBubbleSize val="0"/>
            </c:dLbl>
            <c:dLbl>
              <c:idx val="5"/>
              <c:layout>
                <c:manualLayout>
                  <c:x val="0"/>
                  <c:y val="7.6922823671431328E-2"/>
                </c:manualLayout>
              </c:layout>
              <c:dLblPos val="ctr"/>
              <c:showLegendKey val="0"/>
              <c:showVal val="1"/>
              <c:showCatName val="0"/>
              <c:showSerName val="0"/>
              <c:showPercent val="0"/>
              <c:showBubbleSize val="0"/>
            </c:dLbl>
            <c:dLbl>
              <c:idx val="6"/>
              <c:layout>
                <c:manualLayout>
                  <c:x val="-1.8863476996286883E-3"/>
                  <c:y val="8.0845199228145259E-2"/>
                </c:manualLayout>
              </c:layout>
              <c:dLblPos val="ctr"/>
              <c:showLegendKey val="0"/>
              <c:showVal val="1"/>
              <c:showCatName val="0"/>
              <c:showSerName val="0"/>
              <c:showPercent val="0"/>
              <c:showBubbleSize val="0"/>
            </c:dLbl>
            <c:dLbl>
              <c:idx val="7"/>
              <c:layout>
                <c:manualLayout>
                  <c:x val="-1.8864962309436191E-3"/>
                  <c:y val="8.7331339680100969E-2"/>
                </c:manualLayout>
              </c:layout>
              <c:dLblPos val="ctr"/>
              <c:showLegendKey val="0"/>
              <c:showVal val="1"/>
              <c:showCatName val="0"/>
              <c:showSerName val="0"/>
              <c:showPercent val="0"/>
              <c:showBubbleSize val="0"/>
            </c:dLbl>
            <c:dLbl>
              <c:idx val="8"/>
              <c:layout>
                <c:manualLayout>
                  <c:x val="0"/>
                  <c:y val="8.6607771589526983E-2"/>
                </c:manualLayout>
              </c:layout>
              <c:dLblPos val="ctr"/>
              <c:showLegendKey val="0"/>
              <c:showVal val="1"/>
              <c:showCatName val="0"/>
              <c:showSerName val="0"/>
              <c:showPercent val="0"/>
              <c:showBubbleSize val="0"/>
            </c:dLbl>
            <c:dLbl>
              <c:idx val="9"/>
              <c:layout>
                <c:manualLayout>
                  <c:x val="0"/>
                  <c:y val="8.5946207943519259E-2"/>
                </c:manualLayout>
              </c:layout>
              <c:dLblPos val="ctr"/>
              <c:showLegendKey val="0"/>
              <c:showVal val="1"/>
              <c:showCatName val="0"/>
              <c:showSerName val="0"/>
              <c:showPercent val="0"/>
              <c:showBubbleSize val="0"/>
            </c:dLbl>
            <c:dLbl>
              <c:idx val="10"/>
              <c:layout>
                <c:manualLayout>
                  <c:x val="0"/>
                  <c:y val="9.0592334494773566E-2"/>
                </c:manualLayout>
              </c:layout>
              <c:dLblPos val="ctr"/>
              <c:showLegendKey val="0"/>
              <c:showVal val="1"/>
              <c:showCatName val="0"/>
              <c:showSerName val="0"/>
              <c:showPercent val="0"/>
              <c:showBubbleSize val="0"/>
            </c:dLbl>
            <c:dLbl>
              <c:idx val="11"/>
              <c:layout>
                <c:manualLayout>
                  <c:x val="-1.8863476996286883E-3"/>
                  <c:y val="9.059215159080726E-2"/>
                </c:manualLayout>
              </c:layout>
              <c:dLblPos val="ctr"/>
              <c:showLegendKey val="0"/>
              <c:showVal val="1"/>
              <c:showCatName val="0"/>
              <c:showSerName val="0"/>
              <c:showPercent val="0"/>
              <c:showBubbleSize val="0"/>
            </c:dLbl>
            <c:dLbl>
              <c:idx val="12"/>
              <c:layout>
                <c:manualLayout>
                  <c:x val="0"/>
                  <c:y val="8.8269454123112726E-2"/>
                </c:manualLayout>
              </c:layout>
              <c:dLblPos val="ctr"/>
              <c:showLegendKey val="0"/>
              <c:showVal val="1"/>
              <c:showCatName val="0"/>
              <c:showSerName val="0"/>
              <c:showPercent val="0"/>
              <c:showBubbleSize val="0"/>
            </c:dLbl>
            <c:dLbl>
              <c:idx val="13"/>
              <c:layout>
                <c:manualLayout>
                  <c:x val="1.8863476996286883E-3"/>
                  <c:y val="8.8269454123112726E-2"/>
                </c:manualLayout>
              </c:layout>
              <c:dLblPos val="ctr"/>
              <c:showLegendKey val="0"/>
              <c:showVal val="1"/>
              <c:showCatName val="0"/>
              <c:showSerName val="0"/>
              <c:showPercent val="0"/>
              <c:showBubbleSize val="0"/>
            </c:dLbl>
            <c:dLbl>
              <c:idx val="14"/>
              <c:layout>
                <c:manualLayout>
                  <c:x val="-1.8863476996286883E-3"/>
                  <c:y val="8.3623693379791059E-2"/>
                </c:manualLayout>
              </c:layout>
              <c:dLblPos val="ctr"/>
              <c:showLegendKey val="0"/>
              <c:showVal val="1"/>
              <c:showCatName val="0"/>
              <c:showSerName val="0"/>
              <c:showPercent val="0"/>
              <c:showBubbleSize val="0"/>
            </c:dLbl>
            <c:dLbl>
              <c:idx val="15"/>
              <c:layout>
                <c:manualLayout>
                  <c:x val="-3.7726953992573754E-3"/>
                  <c:y val="8.1300813008130121E-2"/>
                </c:manualLayout>
              </c:layout>
              <c:dLblPos val="ctr"/>
              <c:showLegendKey val="0"/>
              <c:showVal val="1"/>
              <c:showCatName val="0"/>
              <c:showSerName val="0"/>
              <c:showPercent val="0"/>
              <c:showBubbleSize val="0"/>
            </c:dLbl>
            <c:spPr>
              <a:ln>
                <a:noFill/>
              </a:ln>
            </c:spPr>
            <c:txPr>
              <a:bodyPr/>
              <a:lstStyle/>
              <a:p>
                <a:pPr>
                  <a:defRPr sz="700" b="1" u="none"/>
                </a:pPr>
                <a:endParaRPr lang="el-GR"/>
              </a:p>
            </c:txPr>
            <c:dLblPos val="ctr"/>
            <c:showLegendKey val="0"/>
            <c:showVal val="1"/>
            <c:showCatName val="0"/>
            <c:showSerName val="0"/>
            <c:showPercent val="0"/>
            <c:showBubbleSize val="0"/>
            <c:showLeaderLines val="0"/>
          </c:dLbls>
          <c:cat>
            <c:strRef>
              <c:f>'[Ν.4738_2020-ΝΕΟΣ ΕΞΩΔΙΚΑΣΤΙΚΟΣ.xlsx]ΣΤΟΙΧΕΙΑ 2021'!$C$2:$C$215</c:f>
              <c:strCache>
                <c:ptCount val="9"/>
                <c:pt idx="0">
                  <c:v>01/06/2021 
1η ημέρα λειτουργίας</c:v>
                </c:pt>
                <c:pt idx="1">
                  <c:v>07/06/2021 
1η εβδομάδα λειτουργίας</c:v>
                </c:pt>
                <c:pt idx="2">
                  <c:v>30/06/2021 
1ος μήνας λειτουργίας</c:v>
                </c:pt>
                <c:pt idx="3">
                  <c:v>31/07/2021 
2ος μήνας λειτουργίας</c:v>
                </c:pt>
                <c:pt idx="4">
                  <c:v>31/08/2021 
3ος μήνας λειτουργίας</c:v>
                </c:pt>
                <c:pt idx="5">
                  <c:v>30/09/2021 
4ος μήνας λειτουργίας</c:v>
                </c:pt>
                <c:pt idx="6">
                  <c:v>31/10/2021 
5ος μήνας λειτουργίας</c:v>
                </c:pt>
                <c:pt idx="7">
                  <c:v>30/11/2021 
6ος μήνας λειτουργίας</c:v>
                </c:pt>
                <c:pt idx="8">
                  <c:v>Τέλος έτους 2021</c:v>
                </c:pt>
              </c:strCache>
            </c:strRef>
          </c:cat>
          <c:val>
            <c:numRef>
              <c:f>'[Ν.4738_2020-ΝΕΟΣ ΕΞΩΔΙΚΑΣΤΙΚΟΣ.xlsx]ΣΤΟΙΧΕΙΑ 2021'!$D$2:$D$215</c:f>
              <c:numCache>
                <c:formatCode>#,##0</c:formatCode>
                <c:ptCount val="9"/>
                <c:pt idx="0">
                  <c:v>4217</c:v>
                </c:pt>
                <c:pt idx="1">
                  <c:v>9910</c:v>
                </c:pt>
                <c:pt idx="2">
                  <c:v>23478</c:v>
                </c:pt>
                <c:pt idx="3">
                  <c:v>30185</c:v>
                </c:pt>
                <c:pt idx="4">
                  <c:v>33096</c:v>
                </c:pt>
                <c:pt idx="5">
                  <c:v>35753</c:v>
                </c:pt>
                <c:pt idx="6">
                  <c:v>37779</c:v>
                </c:pt>
                <c:pt idx="7">
                  <c:v>41153</c:v>
                </c:pt>
                <c:pt idx="8">
                  <c:v>43795</c:v>
                </c:pt>
              </c:numCache>
            </c:numRef>
          </c:val>
        </c:ser>
        <c:dLbls>
          <c:showLegendKey val="0"/>
          <c:showVal val="1"/>
          <c:showCatName val="0"/>
          <c:showSerName val="0"/>
          <c:showPercent val="0"/>
          <c:showBubbleSize val="0"/>
        </c:dLbls>
        <c:gapWidth val="75"/>
        <c:overlap val="100"/>
        <c:axId val="254777216"/>
        <c:axId val="254778752"/>
      </c:barChart>
      <c:catAx>
        <c:axId val="254777216"/>
        <c:scaling>
          <c:orientation val="minMax"/>
        </c:scaling>
        <c:delete val="0"/>
        <c:axPos val="b"/>
        <c:numFmt formatCode="General" sourceLinked="0"/>
        <c:majorTickMark val="none"/>
        <c:minorTickMark val="none"/>
        <c:tickLblPos val="nextTo"/>
        <c:txPr>
          <a:bodyPr/>
          <a:lstStyle/>
          <a:p>
            <a:pPr>
              <a:defRPr sz="500" b="0"/>
            </a:pPr>
            <a:endParaRPr lang="el-GR"/>
          </a:p>
        </c:txPr>
        <c:crossAx val="254778752"/>
        <c:crosses val="autoZero"/>
        <c:auto val="1"/>
        <c:lblAlgn val="ctr"/>
        <c:lblOffset val="100"/>
        <c:noMultiLvlLbl val="0"/>
      </c:catAx>
      <c:valAx>
        <c:axId val="254778752"/>
        <c:scaling>
          <c:orientation val="minMax"/>
        </c:scaling>
        <c:delete val="1"/>
        <c:axPos val="l"/>
        <c:numFmt formatCode="#,##0" sourceLinked="1"/>
        <c:majorTickMark val="none"/>
        <c:minorTickMark val="none"/>
        <c:tickLblPos val="none"/>
        <c:crossAx val="254777216"/>
        <c:crosses val="autoZero"/>
        <c:crossBetween val="between"/>
      </c:valAx>
    </c:plotArea>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0.03954</cdr:x>
      <cdr:y>0.78947</cdr:y>
    </cdr:from>
    <cdr:to>
      <cdr:x>0.13211</cdr:x>
      <cdr:y>0.93808</cdr:y>
    </cdr:to>
    <cdr:sp macro="" textlink="">
      <cdr:nvSpPr>
        <cdr:cNvPr id="3" name="TextBox 2"/>
        <cdr:cNvSpPr txBox="1"/>
      </cdr:nvSpPr>
      <cdr:spPr>
        <a:xfrm xmlns:a="http://schemas.openxmlformats.org/drawingml/2006/main">
          <a:off x="390525" y="48577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l-GR" sz="1100"/>
        </a:p>
      </cdr:txBody>
    </cdr:sp>
  </cdr:relSizeAnchor>
  <cdr:relSizeAnchor xmlns:cdr="http://schemas.openxmlformats.org/drawingml/2006/chartDrawing">
    <cdr:from>
      <cdr:x>0.07234</cdr:x>
      <cdr:y>0.76655</cdr:y>
    </cdr:from>
    <cdr:to>
      <cdr:x>0.88794</cdr:x>
      <cdr:y>0.89721</cdr:y>
    </cdr:to>
    <cdr:sp macro="" textlink="">
      <cdr:nvSpPr>
        <cdr:cNvPr id="2" name="TextBox 1"/>
        <cdr:cNvSpPr txBox="1"/>
      </cdr:nvSpPr>
      <cdr:spPr>
        <a:xfrm xmlns:a="http://schemas.openxmlformats.org/drawingml/2006/main">
          <a:off x="485774" y="4191000"/>
          <a:ext cx="5476875" cy="714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l-GR" sz="1100"/>
        </a:p>
      </cdr:txBody>
    </cdr:sp>
  </cdr:relSizeAnchor>
  <cdr:relSizeAnchor xmlns:cdr="http://schemas.openxmlformats.org/drawingml/2006/chartDrawing">
    <cdr:from>
      <cdr:x>0.03726</cdr:x>
      <cdr:y>0.75436</cdr:y>
    </cdr:from>
    <cdr:to>
      <cdr:x>0.98043</cdr:x>
      <cdr:y>0.92255</cdr:y>
    </cdr:to>
    <cdr:sp macro="" textlink="">
      <cdr:nvSpPr>
        <cdr:cNvPr id="5" name="TextBox 4"/>
        <cdr:cNvSpPr txBox="1"/>
      </cdr:nvSpPr>
      <cdr:spPr>
        <a:xfrm xmlns:a="http://schemas.openxmlformats.org/drawingml/2006/main">
          <a:off x="250825" y="2628614"/>
          <a:ext cx="6350006" cy="5860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l-GR" sz="1000"/>
            <a:t>       </a:t>
          </a:r>
          <a:r>
            <a:rPr lang="el-GR" sz="600"/>
            <a:t>Πλήθος που προχώρησε σε άρση απορρητου και δεν έχει ακόμη προχωρήσει στα επόμενα βήματα</a:t>
          </a:r>
        </a:p>
        <a:p xmlns:a="http://schemas.openxmlformats.org/drawingml/2006/main">
          <a:pPr algn="l"/>
          <a:r>
            <a:rPr lang="el-GR" sz="600"/>
            <a:t>      </a:t>
          </a:r>
        </a:p>
        <a:p xmlns:a="http://schemas.openxmlformats.org/drawingml/2006/main">
          <a:pPr algn="ctr"/>
          <a:r>
            <a:rPr lang="el-GR" sz="600"/>
            <a:t>      Πλήθος που προχώρησε σε άρση απορρητου, συμπλήρωσε τα στοιχεία (που δεν υπάρχουν ήδη στις βάσεις δεδομένων δημοσίου) και έφτασε στο σημείο αίτησης για άντληση οικονομικών στοιχείων από ΑΑΔΕ, ΕΦΚΑ, τράπεζες και </a:t>
          </a:r>
          <a:r>
            <a:rPr lang="en-US" sz="600"/>
            <a:t>servicers </a:t>
          </a:r>
          <a:endParaRPr lang="el-GR" sz="600"/>
        </a:p>
      </cdr:txBody>
    </cdr:sp>
  </cdr:relSizeAnchor>
  <cdr:relSizeAnchor xmlns:cdr="http://schemas.openxmlformats.org/drawingml/2006/chartDrawing">
    <cdr:from>
      <cdr:x>0.06058</cdr:x>
      <cdr:y>0.78598</cdr:y>
    </cdr:from>
    <cdr:to>
      <cdr:x>0.07335</cdr:x>
      <cdr:y>0.80166</cdr:y>
    </cdr:to>
    <cdr:sp macro="" textlink="">
      <cdr:nvSpPr>
        <cdr:cNvPr id="6" name="Ορθογώνιο 5"/>
        <cdr:cNvSpPr/>
      </cdr:nvSpPr>
      <cdr:spPr>
        <a:xfrm xmlns:a="http://schemas.openxmlformats.org/drawingml/2006/main">
          <a:off x="407878" y="2738779"/>
          <a:ext cx="85976" cy="54638"/>
        </a:xfrm>
        <a:prstGeom xmlns:a="http://schemas.openxmlformats.org/drawingml/2006/main" prst="rect">
          <a:avLst/>
        </a:prstGeom>
        <a:solidFill xmlns:a="http://schemas.openxmlformats.org/drawingml/2006/main">
          <a:schemeClr val="accent3">
            <a:lumMod val="20000"/>
            <a:lumOff val="8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l-GR"/>
        </a:p>
      </cdr:txBody>
    </cdr:sp>
  </cdr:relSizeAnchor>
  <cdr:relSizeAnchor xmlns:cdr="http://schemas.openxmlformats.org/drawingml/2006/chartDrawing">
    <cdr:from>
      <cdr:x>0.06295</cdr:x>
      <cdr:y>0.84072</cdr:y>
    </cdr:from>
    <cdr:to>
      <cdr:x>0.07572</cdr:x>
      <cdr:y>0.8564</cdr:y>
    </cdr:to>
    <cdr:sp macro="" textlink="">
      <cdr:nvSpPr>
        <cdr:cNvPr id="8" name="Ορθογώνιο 7"/>
        <cdr:cNvSpPr/>
      </cdr:nvSpPr>
      <cdr:spPr>
        <a:xfrm xmlns:a="http://schemas.openxmlformats.org/drawingml/2006/main">
          <a:off x="423841" y="2929538"/>
          <a:ext cx="85975" cy="54638"/>
        </a:xfrm>
        <a:prstGeom xmlns:a="http://schemas.openxmlformats.org/drawingml/2006/main" prst="rect">
          <a:avLst/>
        </a:prstGeom>
        <a:solidFill xmlns:a="http://schemas.openxmlformats.org/drawingml/2006/main">
          <a:schemeClr val="tx2">
            <a:lumMod val="20000"/>
            <a:lumOff val="8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l-GR"/>
        </a:p>
      </cdr:txBody>
    </cdr:sp>
  </cdr:relSizeAnchor>
</c:userShape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704</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e.dimitropoulou</dc:creator>
  <cp:lastModifiedBy>Ευφροσύνη Σκαρμούτσου</cp:lastModifiedBy>
  <cp:revision>2</cp:revision>
  <dcterms:created xsi:type="dcterms:W3CDTF">2022-03-30T12:34:00Z</dcterms:created>
  <dcterms:modified xsi:type="dcterms:W3CDTF">2022-03-30T12:34:00Z</dcterms:modified>
</cp:coreProperties>
</file>